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CF9D">
      <w:pPr>
        <w:spacing w:after="0"/>
        <w:jc w:val="center"/>
        <w:rPr>
          <w:rFonts w:eastAsia="Times New Roman" w:asciiTheme="majorHAnsi" w:hAnsiTheme="majorHAnsi" w:cstheme="majorHAnsi"/>
          <w:b/>
          <w:sz w:val="20"/>
          <w:szCs w:val="20"/>
          <w:highlight w:val="white"/>
        </w:rPr>
      </w:pPr>
      <w:bookmarkStart w:id="17" w:name="_GoBack"/>
      <w:bookmarkEnd w:id="17"/>
      <w:r>
        <w:rPr>
          <w:rFonts w:eastAsia="Times New Roman" w:asciiTheme="majorHAnsi" w:hAnsiTheme="majorHAnsi" w:cstheme="majorHAnsi"/>
          <w:b/>
          <w:sz w:val="20"/>
          <w:szCs w:val="20"/>
          <w:highlight w:val="white"/>
        </w:rPr>
        <w:t>TERMO DE REFERÊNCIA</w:t>
      </w:r>
    </w:p>
    <w:p w14:paraId="21C93A85">
      <w:pPr>
        <w:spacing w:after="0"/>
        <w:rPr>
          <w:rFonts w:eastAsia="Times New Roman" w:asciiTheme="majorHAnsi" w:hAnsiTheme="majorHAnsi" w:cstheme="majorHAnsi"/>
          <w:b/>
          <w:sz w:val="20"/>
          <w:szCs w:val="20"/>
          <w:highlight w:val="white"/>
        </w:rPr>
      </w:pPr>
      <w:r>
        <w:rPr>
          <w:rFonts w:eastAsia="Times New Roman" w:asciiTheme="majorHAnsi" w:hAnsiTheme="majorHAnsi" w:cstheme="majorHAnsi"/>
          <w:b/>
          <w:sz w:val="20"/>
          <w:szCs w:val="20"/>
          <w:highlight w:val="white"/>
        </w:rPr>
        <w:t>PROCESSO SEI Nº 0040609061.000184/2025-15</w:t>
      </w:r>
    </w:p>
    <w:p w14:paraId="17C9220B">
      <w:pPr>
        <w:spacing w:after="0"/>
        <w:rPr>
          <w:rFonts w:eastAsia="Times New Roman" w:asciiTheme="majorHAnsi" w:hAnsiTheme="majorHAnsi" w:cstheme="majorHAnsi"/>
          <w:b/>
          <w:sz w:val="20"/>
          <w:szCs w:val="20"/>
          <w:highlight w:val="yellow"/>
        </w:rPr>
      </w:pPr>
    </w:p>
    <w:p w14:paraId="377402D4">
      <w:pPr>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8EAADB" w:themeFill="accent1" w:themeFillTint="99"/>
        <w:tabs>
          <w:tab w:val="left" w:pos="142"/>
          <w:tab w:val="left" w:pos="284"/>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DO OBJETO DA LICITAÇÃO</w:t>
      </w:r>
    </w:p>
    <w:p w14:paraId="7C7BC858">
      <w:pPr>
        <w:numPr>
          <w:ilvl w:val="1"/>
          <w:numId w:val="2"/>
        </w:numPr>
        <w:pBdr>
          <w:top w:val="none" w:color="auto" w:sz="0" w:space="0"/>
          <w:left w:val="none" w:color="auto" w:sz="0" w:space="0"/>
          <w:bottom w:val="none" w:color="auto" w:sz="0" w:space="0"/>
          <w:right w:val="none" w:color="auto" w:sz="0" w:space="0"/>
          <w:between w:val="none" w:color="auto" w:sz="0" w:space="0"/>
        </w:pBdr>
        <w:tabs>
          <w:tab w:val="left" w:pos="426"/>
          <w:tab w:val="left" w:pos="1134"/>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FORMAÇÃO DE REGISTRO DE PREÇOS PARA FORNECIMENTO EVENTUAL DE MEDICAMENTOS VISANDO ATENDER AS NECESSIDADES DO CISAM/UPE</w:t>
      </w:r>
      <w:r>
        <w:rPr>
          <w:rFonts w:eastAsia="Times New Roman" w:asciiTheme="majorHAnsi" w:hAnsiTheme="majorHAnsi" w:cstheme="majorHAnsi"/>
          <w:b/>
          <w:sz w:val="20"/>
          <w:szCs w:val="20"/>
        </w:rPr>
        <w:t xml:space="preserve"> E DEMAIS ÓRGÃOS PARTICIPANTES </w:t>
      </w:r>
      <w:r>
        <w:rPr>
          <w:rFonts w:eastAsia="Times New Roman" w:asciiTheme="majorHAnsi" w:hAnsiTheme="majorHAnsi" w:cstheme="majorHAnsi"/>
          <w:sz w:val="20"/>
          <w:szCs w:val="20"/>
        </w:rPr>
        <w:t>c</w:t>
      </w:r>
      <w:r>
        <w:rPr>
          <w:rFonts w:eastAsia="Times New Roman" w:asciiTheme="majorHAnsi" w:hAnsiTheme="majorHAnsi" w:cstheme="majorHAnsi"/>
          <w:color w:val="000000"/>
          <w:sz w:val="20"/>
          <w:szCs w:val="20"/>
        </w:rPr>
        <w:t xml:space="preserve">onforme as condições, especificações, quantidades e exigências contidas neste Termo de Referência. </w:t>
      </w:r>
    </w:p>
    <w:p w14:paraId="57FA7F82">
      <w:pPr>
        <w:numPr>
          <w:ilvl w:val="1"/>
          <w:numId w:val="2"/>
        </w:numPr>
        <w:pBdr>
          <w:top w:val="none" w:color="auto" w:sz="0" w:space="0"/>
          <w:left w:val="none" w:color="auto" w:sz="0" w:space="0"/>
          <w:bottom w:val="none" w:color="auto" w:sz="0" w:space="0"/>
          <w:right w:val="none" w:color="auto" w:sz="0" w:space="0"/>
          <w:between w:val="none" w:color="auto" w:sz="0" w:space="0"/>
        </w:pBdr>
        <w:tabs>
          <w:tab w:val="left" w:pos="426"/>
          <w:tab w:val="left" w:pos="1134"/>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O objeto desta contratação não se enquadra como sendo bem de luxo, conforme definição do art. 8º do </w:t>
      </w:r>
      <w:r>
        <w:rPr>
          <w:rFonts w:eastAsia="Times New Roman" w:asciiTheme="majorHAnsi" w:hAnsiTheme="majorHAnsi" w:cstheme="majorHAnsi"/>
          <w:color w:val="000000"/>
          <w:sz w:val="20"/>
          <w:szCs w:val="20"/>
          <w:highlight w:val="white"/>
        </w:rPr>
        <w:t>Decreto nº 51.652/ 2021.</w:t>
      </w:r>
    </w:p>
    <w:p w14:paraId="0BF140C6">
      <w:pPr>
        <w:numPr>
          <w:ilvl w:val="1"/>
          <w:numId w:val="2"/>
        </w:numPr>
        <w:pBdr>
          <w:top w:val="none" w:color="auto" w:sz="0" w:space="0"/>
          <w:left w:val="none" w:color="auto" w:sz="0" w:space="0"/>
          <w:bottom w:val="none" w:color="auto" w:sz="0" w:space="0"/>
          <w:right w:val="none" w:color="auto" w:sz="0" w:space="0"/>
          <w:between w:val="none" w:color="auto" w:sz="0" w:space="0"/>
        </w:pBdr>
        <w:tabs>
          <w:tab w:val="left" w:pos="426"/>
          <w:tab w:val="left" w:pos="1134"/>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especificações e os quantitativos do objeto desta licitação estão divididos por itens e descritos</w:t>
      </w:r>
      <w:r>
        <w:rPr>
          <w:rFonts w:eastAsia="Times New Roman" w:asciiTheme="majorHAnsi" w:hAnsiTheme="majorHAnsi" w:cstheme="majorHAnsi"/>
          <w:color w:val="000000"/>
          <w:sz w:val="20"/>
          <w:szCs w:val="20"/>
          <w:highlight w:val="white"/>
        </w:rPr>
        <w:t xml:space="preserve"> conforme quadro(s) constante(s) no anexo </w:t>
      </w:r>
      <w:r>
        <w:rPr>
          <w:rFonts w:eastAsia="Times New Roman" w:asciiTheme="majorHAnsi" w:hAnsiTheme="majorHAnsi" w:cstheme="majorHAnsi"/>
          <w:sz w:val="20"/>
          <w:szCs w:val="20"/>
          <w:highlight w:val="white"/>
        </w:rPr>
        <w:t>D</w:t>
      </w:r>
      <w:r>
        <w:rPr>
          <w:rFonts w:eastAsia="Times New Roman" w:asciiTheme="majorHAnsi" w:hAnsiTheme="majorHAnsi" w:cstheme="majorHAnsi"/>
          <w:color w:val="000000"/>
          <w:sz w:val="20"/>
          <w:szCs w:val="20"/>
          <w:highlight w:val="white"/>
        </w:rPr>
        <w:t>.</w:t>
      </w:r>
    </w:p>
    <w:p w14:paraId="35A43949">
      <w:pPr>
        <w:numPr>
          <w:ilvl w:val="1"/>
          <w:numId w:val="2"/>
        </w:numPr>
        <w:pBdr>
          <w:top w:val="none" w:color="auto" w:sz="0" w:space="0"/>
          <w:left w:val="none" w:color="auto" w:sz="0" w:space="0"/>
          <w:bottom w:val="none" w:color="auto" w:sz="0" w:space="0"/>
          <w:right w:val="none" w:color="auto" w:sz="0" w:space="0"/>
          <w:between w:val="none" w:color="auto" w:sz="0" w:space="0"/>
        </w:pBdr>
        <w:tabs>
          <w:tab w:val="left" w:pos="426"/>
        </w:tabs>
        <w:spacing w:after="240" w:line="276" w:lineRule="auto"/>
        <w:ind w:left="0" w:firstLine="0"/>
        <w:jc w:val="both"/>
        <w:rPr>
          <w:rFonts w:eastAsia="Times New Roman" w:asciiTheme="majorHAnsi" w:hAnsiTheme="majorHAnsi" w:cstheme="majorHAnsi"/>
          <w:color w:val="000000"/>
          <w:sz w:val="20"/>
          <w:szCs w:val="20"/>
          <w:highlight w:val="white"/>
        </w:rPr>
      </w:pPr>
      <w:r>
        <w:rPr>
          <w:rFonts w:eastAsia="Times New Roman" w:asciiTheme="majorHAnsi" w:hAnsiTheme="majorHAnsi" w:cstheme="majorHAnsi"/>
          <w:color w:val="000000"/>
          <w:sz w:val="20"/>
          <w:szCs w:val="20"/>
          <w:highlight w:val="white"/>
        </w:rPr>
        <w:t>Em caso de discordância existente entre as especificações do objeto descritas no E-fisco/Termo de Referência e no CATMAT, prevalecerá a descrição do E-fisco/Termo de Referência.</w:t>
      </w:r>
    </w:p>
    <w:p w14:paraId="206BDBF5">
      <w:pPr>
        <w:numPr>
          <w:ilvl w:val="0"/>
          <w:numId w:val="3"/>
        </w:numPr>
        <w:shd w:val="clear" w:color="auto" w:fill="8EAADB" w:themeFill="accent1" w:themeFillTint="99"/>
        <w:tabs>
          <w:tab w:val="left" w:pos="142"/>
          <w:tab w:val="left" w:pos="284"/>
        </w:tabs>
        <w:spacing w:before="120" w:after="0" w:line="240" w:lineRule="auto"/>
        <w:jc w:val="both"/>
        <w:rPr>
          <w:rFonts w:eastAsia="Times New Roman" w:asciiTheme="majorHAnsi" w:hAnsiTheme="majorHAnsi" w:cstheme="majorHAnsi"/>
          <w:b/>
          <w:sz w:val="20"/>
          <w:szCs w:val="20"/>
        </w:rPr>
      </w:pPr>
      <w:bookmarkStart w:id="0" w:name="_heading=h.jfv9r8jpfdby" w:colFirst="0" w:colLast="0"/>
      <w:bookmarkEnd w:id="0"/>
      <w:r>
        <w:rPr>
          <w:rFonts w:eastAsia="Times New Roman" w:asciiTheme="majorHAnsi" w:hAnsiTheme="majorHAnsi" w:cstheme="majorHAnsi"/>
          <w:b/>
          <w:sz w:val="20"/>
          <w:szCs w:val="20"/>
        </w:rPr>
        <w:t>DAS JUSTIFICATIVAS</w:t>
      </w:r>
    </w:p>
    <w:p w14:paraId="5B2A4F08">
      <w:pPr>
        <w:numPr>
          <w:ilvl w:val="1"/>
          <w:numId w:val="4"/>
        </w:numPr>
        <w:pBdr>
          <w:top w:val="none" w:color="auto" w:sz="0" w:space="0"/>
          <w:left w:val="none" w:color="auto" w:sz="0" w:space="0"/>
          <w:bottom w:val="none" w:color="auto" w:sz="0" w:space="0"/>
          <w:right w:val="none" w:color="auto" w:sz="0" w:space="0"/>
          <w:between w:val="none" w:color="auto" w:sz="0" w:space="0"/>
        </w:pBdr>
        <w:tabs>
          <w:tab w:val="left" w:pos="426"/>
          <w:tab w:val="left" w:pos="1134"/>
        </w:tabs>
        <w:spacing w:before="24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JUSTIFICATIVA DA NECESSIDADE DA CONTRATAÇÃO</w:t>
      </w:r>
    </w:p>
    <w:p w14:paraId="691C1E8E">
      <w:pPr>
        <w:numPr>
          <w:ilvl w:val="2"/>
          <w:numId w:val="4"/>
        </w:numPr>
        <w:pBdr>
          <w:top w:val="none" w:color="auto" w:sz="0" w:space="0"/>
          <w:left w:val="none" w:color="auto" w:sz="0" w:space="0"/>
          <w:bottom w:val="none" w:color="auto" w:sz="0" w:space="0"/>
          <w:right w:val="none" w:color="auto" w:sz="0" w:space="0"/>
          <w:between w:val="none" w:color="auto" w:sz="0" w:space="0"/>
        </w:pBdr>
        <w:spacing w:after="0" w:line="276" w:lineRule="auto"/>
        <w:ind w:left="0" w:right="-2"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presente contratação se dará em função da necessidade de aquisição de medicamentos, a fim de atender o CISAM/UPE, uma vez que o término da vigência da Ata de Registro de Preços</w:t>
      </w:r>
      <w:r>
        <w:rPr>
          <w:rFonts w:eastAsia="Times New Roman" w:asciiTheme="majorHAnsi" w:hAnsiTheme="majorHAnsi" w:cstheme="majorHAnsi"/>
          <w:sz w:val="20"/>
          <w:szCs w:val="20"/>
          <w:highlight w:val="white"/>
        </w:rPr>
        <w:t xml:space="preserve"> dos itens aqui especificados no subitem 1.3. expiraram em 18/06/2024 (PL 0158.2023), 30/07/2024 (PL 0243.2023), 06/07/2024 (PL 0187.2023), 30/07/2024 (PL 0245.2023), 30/07/2024 (PL 0177.2023), 30/07/2024 (PL 0244.2023</w:t>
      </w:r>
      <w:r>
        <w:rPr>
          <w:rFonts w:eastAsia="Times New Roman" w:asciiTheme="majorHAnsi" w:hAnsiTheme="majorHAnsi" w:cstheme="majorHAnsi"/>
          <w:b/>
          <w:sz w:val="20"/>
          <w:szCs w:val="20"/>
          <w:highlight w:val="white"/>
        </w:rPr>
        <w:t>), restaram revogado/fracasso no processo 3706.2025</w:t>
      </w:r>
      <w:r>
        <w:rPr>
          <w:rFonts w:eastAsia="Times New Roman" w:asciiTheme="majorHAnsi" w:hAnsiTheme="majorHAnsi" w:cstheme="majorHAnsi"/>
          <w:sz w:val="20"/>
          <w:szCs w:val="20"/>
          <w:highlight w:val="white"/>
        </w:rPr>
        <w:t>,</w:t>
      </w:r>
      <w:r>
        <w:rPr>
          <w:rFonts w:eastAsia="Times New Roman" w:asciiTheme="majorHAnsi" w:hAnsiTheme="majorHAnsi" w:cstheme="majorHAnsi"/>
          <w:color w:val="4472C4"/>
          <w:sz w:val="20"/>
          <w:szCs w:val="20"/>
        </w:rPr>
        <w:t xml:space="preserve"> </w:t>
      </w:r>
      <w:r>
        <w:rPr>
          <w:rFonts w:eastAsia="Times New Roman" w:asciiTheme="majorHAnsi" w:hAnsiTheme="majorHAnsi" w:cstheme="majorHAnsi"/>
          <w:color w:val="000000"/>
          <w:sz w:val="20"/>
          <w:szCs w:val="20"/>
        </w:rPr>
        <w:t>e a necessidade de manter o abastecimento dos nossos estoques dos  referidos itens para o andamento regular dos serviços prestados, de acordo com as especificações e quantidades constantes neste Termo de Referência.</w:t>
      </w:r>
    </w:p>
    <w:p w14:paraId="0AC7CBA3">
      <w:pPr>
        <w:numPr>
          <w:ilvl w:val="2"/>
          <w:numId w:val="4"/>
        </w:numPr>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left="0" w:right="-2"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Constituição Federal de 1988 prevê, em seu art. 196, que “A saúde é direito de todos e dever do Estado, garantido mediante políticas sociais e econômicas que visem à redução do risco de doença e de outros agravos e ao acesso universal e igualitário às ações e serviços para sua promoção, proteção e recuperação”. Nessa perspectiva, medicamentos são insumos estratégicos de suporte às ações de saúde, problemas em seus fornecimentos podem implicar interrupções em tratamentos de saúde, afetando a qualidade de vida da população e a credibilidade do sistema de saúde com um todo.</w:t>
      </w:r>
    </w:p>
    <w:p w14:paraId="7BB4FF99">
      <w:pPr>
        <w:numPr>
          <w:ilvl w:val="2"/>
          <w:numId w:val="4"/>
        </w:numPr>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left="0" w:right="-2"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Para cumprir esse dever constitucional a Universidade de Pernambuco, presta atendimento à população visando atender suas necessidades de dispensação de medicamentos através do Centro Universitário Integrado de Saúde Amaury de Medeiros, garantindo assistência terapêutica efetiva e integral aos pacientes de acordo com as especificações e quantidades constantes neste Termo de Referência.</w:t>
      </w:r>
    </w:p>
    <w:p w14:paraId="037EB3BA">
      <w:pPr>
        <w:numPr>
          <w:ilvl w:val="2"/>
          <w:numId w:val="4"/>
        </w:numPr>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left="0" w:right="-6"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 presente contratação deriva da SC nº </w:t>
      </w:r>
      <w:r>
        <w:rPr>
          <w:rFonts w:eastAsia="Times New Roman" w:asciiTheme="majorHAnsi" w:hAnsiTheme="majorHAnsi" w:cstheme="majorHAnsi"/>
          <w:b/>
          <w:sz w:val="20"/>
          <w:szCs w:val="20"/>
        </w:rPr>
        <w:t>440713000122025000159</w:t>
      </w:r>
      <w:r>
        <w:rPr>
          <w:rFonts w:eastAsia="Times New Roman" w:asciiTheme="majorHAnsi" w:hAnsiTheme="majorHAnsi" w:cstheme="majorHAnsi"/>
          <w:color w:val="000000"/>
          <w:sz w:val="20"/>
          <w:szCs w:val="20"/>
        </w:rPr>
        <w:t xml:space="preserve"> DOC SEI nº </w:t>
      </w:r>
      <w:r>
        <w:rPr>
          <w:rFonts w:eastAsia="Times New Roman" w:asciiTheme="majorHAnsi" w:hAnsiTheme="majorHAnsi" w:cstheme="majorHAnsi"/>
          <w:b/>
          <w:sz w:val="20"/>
          <w:szCs w:val="20"/>
        </w:rPr>
        <w:t>0040609061.000184/2025-15</w:t>
      </w:r>
      <w:r>
        <w:rPr>
          <w:rFonts w:eastAsia="Times New Roman" w:asciiTheme="majorHAnsi" w:hAnsiTheme="majorHAnsi" w:cstheme="majorHAnsi"/>
          <w:color w:val="000000"/>
          <w:sz w:val="20"/>
          <w:szCs w:val="20"/>
        </w:rPr>
        <w:t xml:space="preserve">, emitido pelo setor  </w:t>
      </w:r>
      <w:r>
        <w:rPr>
          <w:rFonts w:eastAsia="Times New Roman" w:asciiTheme="majorHAnsi" w:hAnsiTheme="majorHAnsi" w:cstheme="majorHAnsi"/>
          <w:sz w:val="20"/>
          <w:szCs w:val="20"/>
        </w:rPr>
        <w:t xml:space="preserve">da farmácia </w:t>
      </w:r>
      <w:r>
        <w:rPr>
          <w:rFonts w:eastAsia="Times New Roman" w:asciiTheme="majorHAnsi" w:hAnsiTheme="majorHAnsi" w:cstheme="majorHAnsi"/>
          <w:color w:val="000000"/>
          <w:sz w:val="20"/>
          <w:szCs w:val="20"/>
        </w:rPr>
        <w:t xml:space="preserve">e da Manifestação de Interesse a Intenção de Registro de Preços referente a </w:t>
      </w:r>
      <w:r>
        <w:rPr>
          <w:rFonts w:eastAsia="Times New Roman" w:asciiTheme="majorHAnsi" w:hAnsiTheme="majorHAnsi" w:cstheme="majorHAnsi"/>
          <w:sz w:val="20"/>
          <w:szCs w:val="20"/>
        </w:rPr>
        <w:t>IRP.0067.2025</w:t>
      </w:r>
      <w:r>
        <w:rPr>
          <w:rFonts w:eastAsia="Times New Roman" w:asciiTheme="majorHAnsi" w:hAnsiTheme="majorHAnsi" w:cstheme="majorHAnsi"/>
          <w:color w:val="000000"/>
          <w:sz w:val="20"/>
          <w:szCs w:val="20"/>
        </w:rPr>
        <w:t xml:space="preserve">, emitida pelo </w:t>
      </w:r>
      <w:r>
        <w:rPr>
          <w:rFonts w:eastAsia="Times New Roman" w:asciiTheme="majorHAnsi" w:hAnsiTheme="majorHAnsi" w:cstheme="majorHAnsi"/>
          <w:sz w:val="20"/>
          <w:szCs w:val="20"/>
        </w:rPr>
        <w:t>Centro Integrado de Saúde Amaury de Medeiros.</w:t>
      </w:r>
    </w:p>
    <w:p w14:paraId="73417157">
      <w:pPr>
        <w:numPr>
          <w:ilvl w:val="2"/>
          <w:numId w:val="4"/>
        </w:numPr>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left="0" w:right="-2"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 Em suma, tal contratação merece guarida visando o atendimento ao interesse público, sendo imprescindível a aquisição de tais suprimentos para execução das políticas de saúde pública. Os medicamentos elencados no presente documento são essenciais para a execução das atividades, rotinas, intervenções e procedimentos desenvolvidos neste hospital e atendem de forma direta as necessidades dos pacientes usuários da saúde, sendo  essenciais para a execução com qualidade, eficiência e rapidez, dos serviços.</w:t>
      </w:r>
    </w:p>
    <w:p w14:paraId="1FF2CA69">
      <w:pPr>
        <w:numPr>
          <w:ilvl w:val="2"/>
          <w:numId w:val="4"/>
        </w:numPr>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left="0" w:right="-2"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Informe-se, por oportuno, que tal objeto atenderá o dever legal exposto no Art. 7 º da Lei Federal nº 8.080, de 19/09/1990, que dispõe as condições para a promoção, proteção e recuperação da saúde, a organização e o funcionamento dos serviços correspondentes e dá outras providências. Considerando o princípio da integralidade no SUS descrito no mencionado artigo, é mantida uma adequada padronização de medicamentos no CISAM/UPE, a fim de que sejam adquiridos itens que viabilizem ações e serviços preventivos, curativos e de diagnóstico, individuais e coletivos, exigidos para cada paciente em todos os níveis de complexidade.</w:t>
      </w:r>
    </w:p>
    <w:p w14:paraId="6EDB9722">
      <w:pPr>
        <w:tabs>
          <w:tab w:val="left" w:pos="851"/>
        </w:tabs>
        <w:spacing w:before="120" w:after="0" w:line="240" w:lineRule="auto"/>
        <w:ind w:left="426" w:right="-2"/>
        <w:jc w:val="both"/>
        <w:rPr>
          <w:rFonts w:eastAsia="Times New Roman" w:asciiTheme="majorHAnsi" w:hAnsiTheme="majorHAnsi" w:cstheme="majorHAnsi"/>
          <w:color w:val="FF0000"/>
          <w:sz w:val="20"/>
          <w:szCs w:val="20"/>
        </w:rPr>
      </w:pPr>
    </w:p>
    <w:p w14:paraId="0CE2C42C">
      <w:pPr>
        <w:numPr>
          <w:ilvl w:val="1"/>
          <w:numId w:val="5"/>
        </w:numPr>
        <w:pBdr>
          <w:top w:val="none" w:color="auto" w:sz="0" w:space="0"/>
          <w:left w:val="none" w:color="auto" w:sz="0" w:space="0"/>
          <w:bottom w:val="none" w:color="auto" w:sz="0" w:space="0"/>
          <w:right w:val="none" w:color="auto" w:sz="0" w:space="0"/>
          <w:between w:val="none" w:color="auto" w:sz="0" w:space="0"/>
        </w:pBdr>
        <w:tabs>
          <w:tab w:val="left" w:pos="426"/>
          <w:tab w:val="left" w:pos="1134"/>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JUSTIFICATIVA DO QUANTITATIVO ESTIMADO</w:t>
      </w:r>
    </w:p>
    <w:p w14:paraId="5AB23654">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200" w:line="240" w:lineRule="auto"/>
        <w:ind w:left="0" w:firstLine="0"/>
        <w:jc w:val="both"/>
        <w:rPr>
          <w:rFonts w:eastAsia="Times New Roman" w:asciiTheme="majorHAnsi" w:hAnsiTheme="majorHAnsi" w:cstheme="majorHAnsi"/>
          <w:sz w:val="20"/>
          <w:szCs w:val="20"/>
        </w:rPr>
      </w:pPr>
      <w:r>
        <w:rPr>
          <w:rFonts w:eastAsia="Times New Roman" w:asciiTheme="majorHAnsi" w:hAnsiTheme="majorHAnsi" w:cstheme="majorHAnsi"/>
          <w:color w:val="000000"/>
          <w:sz w:val="20"/>
          <w:szCs w:val="20"/>
        </w:rPr>
        <w:t xml:space="preserve">Os quantitativos previstos no presente Termo de Referência foram definidos conforme planilha de consumo anexa ao sistema </w:t>
      </w:r>
      <w:r>
        <w:rPr>
          <w:rFonts w:eastAsia="Times New Roman" w:asciiTheme="majorHAnsi" w:hAnsiTheme="majorHAnsi" w:cstheme="majorHAnsi"/>
          <w:sz w:val="20"/>
          <w:szCs w:val="20"/>
        </w:rPr>
        <w:t xml:space="preserve">SEI nº </w:t>
      </w:r>
      <w:r>
        <w:rPr>
          <w:rFonts w:eastAsia="Times New Roman" w:asciiTheme="majorHAnsi" w:hAnsiTheme="majorHAnsi" w:cstheme="majorHAnsi"/>
          <w:b/>
          <w:sz w:val="20"/>
          <w:szCs w:val="20"/>
        </w:rPr>
        <w:t>0040609061.000184/2025-15</w:t>
      </w:r>
      <w:r>
        <w:rPr>
          <w:rFonts w:eastAsia="Times New Roman" w:asciiTheme="majorHAnsi" w:hAnsiTheme="majorHAnsi" w:cstheme="majorHAnsi"/>
          <w:sz w:val="20"/>
          <w:szCs w:val="20"/>
        </w:rPr>
        <w:t>,</w:t>
      </w:r>
      <w:r>
        <w:rPr>
          <w:rFonts w:eastAsia="Times New Roman" w:asciiTheme="majorHAnsi" w:hAnsiTheme="majorHAnsi" w:cstheme="majorHAnsi"/>
          <w:color w:val="4472C4"/>
          <w:sz w:val="20"/>
          <w:szCs w:val="20"/>
        </w:rPr>
        <w:t xml:space="preserve"> </w:t>
      </w:r>
      <w:r>
        <w:rPr>
          <w:rFonts w:eastAsia="Times New Roman" w:asciiTheme="majorHAnsi" w:hAnsiTheme="majorHAnsi" w:cstheme="majorHAnsi"/>
          <w:color w:val="000000"/>
          <w:sz w:val="20"/>
          <w:szCs w:val="20"/>
        </w:rPr>
        <w:t>fundamentado no consum</w:t>
      </w:r>
      <w:r>
        <w:rPr>
          <w:rFonts w:eastAsia="Times New Roman" w:asciiTheme="majorHAnsi" w:hAnsiTheme="majorHAnsi" w:cstheme="majorHAnsi"/>
          <w:sz w:val="20"/>
          <w:szCs w:val="20"/>
        </w:rPr>
        <w:t>o dos últimos 12 (doze)  meses qu</w:t>
      </w:r>
      <w:r>
        <w:rPr>
          <w:rFonts w:eastAsia="Times New Roman" w:asciiTheme="majorHAnsi" w:hAnsiTheme="majorHAnsi" w:cstheme="majorHAnsi"/>
          <w:color w:val="000000"/>
          <w:sz w:val="20"/>
          <w:szCs w:val="20"/>
        </w:rPr>
        <w:t>e corresponde à demanda do atendimento hospitalar e ambulatorial do CISAM/UPE</w:t>
      </w:r>
      <w:r>
        <w:rPr>
          <w:rFonts w:eastAsia="Times New Roman" w:asciiTheme="majorHAnsi" w:hAnsiTheme="majorHAnsi" w:cstheme="majorHAnsi"/>
          <w:sz w:val="20"/>
          <w:szCs w:val="20"/>
        </w:rPr>
        <w:t>, acrescidos de 25% para atender, se necessário, um possível aumento na demanda considerando que o número de pacientes atendidos varia mensalmente, não temos como mensurar um quantitativo exato e precisamos manter nosso estoque para atender casos de urgência/emergência admitidos nesta unidade. É importante destacar que existe uma variabilidade deste consumo médio, pois depende da demanda de pacientes atendidos no mês e de possíveis variações no quantitativo de leitos no Hospital.</w:t>
      </w:r>
      <w:r>
        <w:rPr>
          <w:rFonts w:eastAsia="Times New Roman" w:asciiTheme="majorHAnsi" w:hAnsiTheme="majorHAnsi" w:cstheme="majorHAnsi"/>
          <w:color w:val="000000"/>
          <w:sz w:val="20"/>
          <w:szCs w:val="20"/>
        </w:rPr>
        <w:t xml:space="preserve"> </w:t>
      </w:r>
      <w:r>
        <w:rPr>
          <w:rFonts w:eastAsia="Times New Roman" w:asciiTheme="majorHAnsi" w:hAnsiTheme="majorHAnsi" w:cstheme="majorHAnsi"/>
          <w:sz w:val="20"/>
          <w:szCs w:val="20"/>
        </w:rPr>
        <w:t>Memória de cálculo: Quantidade total ÷ meses com consumo x 12 (doze) meses. Para tanto, foi utilizado o período de maior regularidade de abastecimento e consumo.</w:t>
      </w:r>
    </w:p>
    <w:p w14:paraId="140261DB">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200" w:line="240" w:lineRule="auto"/>
        <w:ind w:left="0" w:firstLine="0"/>
        <w:jc w:val="both"/>
        <w:rPr>
          <w:rFonts w:eastAsia="Times New Roman" w:asciiTheme="majorHAnsi" w:hAnsiTheme="majorHAnsi" w:cstheme="majorHAnsi"/>
          <w:color w:val="000000"/>
          <w:sz w:val="20"/>
          <w:szCs w:val="20"/>
        </w:rPr>
      </w:pPr>
      <w:r>
        <w:rPr>
          <w:rFonts w:ascii="Calibri Light" w:hAnsi="Calibri Light" w:eastAsia="Times New Roman" w:cs="Calibri Light"/>
          <w:sz w:val="20"/>
          <w:szCs w:val="20"/>
          <w:lang w:eastAsia="en-US"/>
        </w:rPr>
        <w:t>Importante, esclarecer que o quantitativo dos medicamentos deve ser suficiente para ter saldo disponível quando for necessário atender às intercorrências acima da média histórica de consumo. A partir desta premissa, entende-se que o quantitativo requerido traz segurança para o devido atendimento à população.</w:t>
      </w:r>
    </w:p>
    <w:p w14:paraId="058EEDB0">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200" w:line="240" w:lineRule="auto"/>
        <w:ind w:left="0" w:firstLine="0"/>
        <w:jc w:val="both"/>
        <w:rPr>
          <w:rFonts w:eastAsia="Times New Roman" w:asciiTheme="majorHAnsi" w:hAnsiTheme="majorHAnsi" w:cstheme="majorHAnsi"/>
          <w:color w:val="000000"/>
          <w:sz w:val="20"/>
          <w:szCs w:val="20"/>
        </w:rPr>
      </w:pPr>
      <w:r>
        <w:rPr>
          <w:rFonts w:ascii="Calibri Light" w:hAnsi="Calibri Light" w:eastAsia="Times New Roman" w:cs="Calibri Light"/>
          <w:sz w:val="20"/>
          <w:szCs w:val="20"/>
          <w:lang w:eastAsia="en-US"/>
        </w:rPr>
        <w:t>Portanto, o quantitativo aqui estabelecido neste Termo de Referência busca observar o consumo anterior, mas levando em consideração algumas variáveis, as quais não são possíveis dimensionar ou quantificar, tais como: eventos climáticos, pandemias, desastres naturais, guerras, mudança de protocolo, variação dos pacientes atendidos e outras situações.</w:t>
      </w:r>
    </w:p>
    <w:p w14:paraId="50A7DAC5">
      <w:pPr>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2.2.4.</w:t>
      </w:r>
      <w:r>
        <w:rPr>
          <w:rFonts w:eastAsia="Times New Roman" w:asciiTheme="majorHAnsi" w:hAnsiTheme="majorHAnsi" w:cstheme="majorHAnsi"/>
          <w:color w:val="000000"/>
          <w:sz w:val="20"/>
          <w:szCs w:val="20"/>
        </w:rPr>
        <w:t xml:space="preserve"> Há manifestações de interesse de outros órgãos registradas na Intenção de Registros de Preços (IRP) nº </w:t>
      </w:r>
      <w:r>
        <w:rPr>
          <w:rFonts w:eastAsia="Times New Roman" w:asciiTheme="majorHAnsi" w:hAnsiTheme="majorHAnsi" w:cstheme="majorHAnsi"/>
          <w:b/>
          <w:color w:val="000000"/>
          <w:sz w:val="20"/>
          <w:szCs w:val="20"/>
        </w:rPr>
        <w:t>IRP.0067.2025.CISAM</w:t>
      </w:r>
      <w:r>
        <w:rPr>
          <w:rFonts w:eastAsia="Times New Roman" w:asciiTheme="majorHAnsi" w:hAnsiTheme="majorHAnsi" w:cstheme="majorHAnsi"/>
          <w:color w:val="000000"/>
          <w:sz w:val="20"/>
          <w:szCs w:val="20"/>
        </w:rPr>
        <w:t xml:space="preserve"> , operacionalizada através do sistema PE-Integrado, que deu origem a Solicitação de Compra (SC) nº</w:t>
      </w:r>
      <w:r>
        <w:rPr>
          <w:rFonts w:eastAsia="Times New Roman" w:asciiTheme="majorHAnsi" w:hAnsiTheme="majorHAnsi" w:cstheme="majorHAnsi"/>
          <w:b/>
          <w:sz w:val="20"/>
          <w:szCs w:val="20"/>
        </w:rPr>
        <w:t>440713000122025000159</w:t>
      </w:r>
    </w:p>
    <w:p w14:paraId="734C0461">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20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Soma-se ao quantitativo supramencionado àqueles obtidos a partir das manifestações de interesse registradas na Intenção de Registros de Preços</w:t>
      </w:r>
      <w:r>
        <w:rPr>
          <w:rFonts w:eastAsia="Times New Roman" w:asciiTheme="majorHAnsi" w:hAnsiTheme="majorHAnsi" w:cstheme="majorHAnsi"/>
          <w:color w:val="000000"/>
          <w:sz w:val="20"/>
          <w:szCs w:val="20"/>
          <w:highlight w:val="white"/>
        </w:rPr>
        <w:t xml:space="preserve"> nº </w:t>
      </w:r>
      <w:r>
        <w:rPr>
          <w:rFonts w:eastAsia="Times New Roman" w:asciiTheme="majorHAnsi" w:hAnsiTheme="majorHAnsi" w:cstheme="majorHAnsi"/>
          <w:sz w:val="20"/>
          <w:szCs w:val="20"/>
          <w:highlight w:val="white"/>
        </w:rPr>
        <w:t>IRP.0067.2025</w:t>
      </w:r>
      <w:r>
        <w:rPr>
          <w:rFonts w:eastAsia="Times New Roman" w:asciiTheme="majorHAnsi" w:hAnsiTheme="majorHAnsi" w:cstheme="majorHAnsi"/>
          <w:color w:val="000000"/>
          <w:sz w:val="20"/>
          <w:szCs w:val="20"/>
          <w:highlight w:val="white"/>
        </w:rPr>
        <w:t>,</w:t>
      </w:r>
      <w:r>
        <w:rPr>
          <w:rFonts w:eastAsia="Times New Roman" w:asciiTheme="majorHAnsi" w:hAnsiTheme="majorHAnsi" w:cstheme="majorHAnsi"/>
          <w:color w:val="000000"/>
          <w:sz w:val="20"/>
          <w:szCs w:val="20"/>
        </w:rPr>
        <w:t xml:space="preserve"> operacionalizada através do sistema PE-Integrado (vide quantidade por órgão/entidade no item 6.3).</w:t>
      </w:r>
    </w:p>
    <w:p w14:paraId="2A545459">
      <w:pPr>
        <w:numPr>
          <w:ilvl w:val="1"/>
          <w:numId w:val="5"/>
        </w:numPr>
        <w:pBdr>
          <w:top w:val="none" w:color="auto" w:sz="0" w:space="0"/>
          <w:left w:val="none" w:color="auto" w:sz="0" w:space="0"/>
          <w:bottom w:val="none" w:color="auto" w:sz="0" w:space="0"/>
          <w:right w:val="none" w:color="auto" w:sz="0" w:space="0"/>
          <w:between w:val="none" w:color="auto" w:sz="0" w:space="0"/>
        </w:pBdr>
        <w:tabs>
          <w:tab w:val="left" w:pos="0"/>
          <w:tab w:val="left" w:pos="426"/>
          <w:tab w:val="left" w:pos="2127"/>
        </w:tabs>
        <w:spacing w:after="0" w:line="276" w:lineRule="auto"/>
        <w:ind w:left="0" w:right="-285"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JUSTIFICATIVA DA ESCOLHA DA SOLUÇÃO</w:t>
      </w:r>
      <w:r>
        <w:rPr>
          <w:rFonts w:eastAsia="Times New Roman" w:asciiTheme="majorHAnsi" w:hAnsiTheme="majorHAnsi" w:cstheme="majorHAnsi"/>
          <w:color w:val="000000"/>
          <w:sz w:val="20"/>
          <w:szCs w:val="20"/>
        </w:rPr>
        <w:t xml:space="preserve"> </w:t>
      </w:r>
    </w:p>
    <w:p w14:paraId="498D6A7E">
      <w:pPr>
        <w:numPr>
          <w:ilvl w:val="2"/>
          <w:numId w:val="5"/>
        </w:numPr>
        <w:pBdr>
          <w:top w:val="none" w:color="auto" w:sz="0" w:space="0"/>
          <w:left w:val="none" w:color="auto" w:sz="0" w:space="0"/>
          <w:bottom w:val="none" w:color="auto" w:sz="0" w:space="0"/>
          <w:right w:val="none" w:color="auto" w:sz="0" w:space="0"/>
          <w:between w:val="none" w:color="auto" w:sz="0" w:space="0"/>
        </w:pBdr>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Visando atender à necessidade pública do Centro Universitário Integrado de Saúde Amaury de Medeiros, já exposta no item acima, uma vez que se mostra como essencial para o desenvolvimento de suas atividades, a Administração Pública optou por contratar o fornecimento do objeto em tela, na modalidade licitatória Pregão Eletrônico, por sistema de Registro de Preços, sendo esse o recomendado para esse tipo de aquisição tendo em vista a variabilidade do consumo advinda da flutuação do número de pacientes internados/atendidos, suas demandas medicamentosas, bem como a sazonalidade da ocorrência de algumas doenças e a possibilidade de surgimento de epidemias. Permite ainda que os medicamentos sejam adquiridos de forma imediata conforme a demanda, evitando que haja estoque de grandes quantidades, o que poderia ocasionar deterioração por armazenagem inadequada e perda da validade.</w:t>
      </w:r>
    </w:p>
    <w:p w14:paraId="7D713834">
      <w:pPr>
        <w:pBdr>
          <w:top w:val="none" w:color="auto" w:sz="0" w:space="0"/>
          <w:left w:val="none" w:color="auto" w:sz="0" w:space="0"/>
          <w:bottom w:val="none" w:color="auto" w:sz="0" w:space="0"/>
          <w:right w:val="none" w:color="auto" w:sz="0" w:space="0"/>
          <w:between w:val="none" w:color="auto" w:sz="0" w:space="0"/>
        </w:pBdr>
        <w:tabs>
          <w:tab w:val="left" w:pos="567"/>
        </w:tabs>
        <w:spacing w:after="0"/>
        <w:ind w:right="-285"/>
        <w:jc w:val="both"/>
        <w:rPr>
          <w:rFonts w:eastAsia="Times New Roman" w:asciiTheme="majorHAnsi" w:hAnsiTheme="majorHAnsi" w:cstheme="majorHAnsi"/>
          <w:color w:val="000000"/>
          <w:sz w:val="20"/>
          <w:szCs w:val="20"/>
        </w:rPr>
      </w:pPr>
    </w:p>
    <w:p w14:paraId="12648A35">
      <w:pPr>
        <w:numPr>
          <w:ilvl w:val="1"/>
          <w:numId w:val="5"/>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JUSTIFICATIVA PARA O PARCELAMENTO OU NÃO DA CONTRATAÇÃO</w:t>
      </w:r>
    </w:p>
    <w:p w14:paraId="32EE2CC2">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regra a ser observada pela Administração nas licitações é a do parcelamento do objeto, mas é imprescindível que a divisão deste seja tecnicamente viável e economicamente vantajosa e não represente perda de economia de escala (Art. 40, inciso V, alínea b, combinado com §2º do mesmo artigo, da Lei 14.1333/2021).</w:t>
      </w:r>
    </w:p>
    <w:p w14:paraId="2D84BB57">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Na presente contratação, resta demonstrado que o parcelamento por itens buscou permitir a participação de maior número de interessados, fomentando, assim, o princípio da ampla concorrência.</w:t>
      </w:r>
    </w:p>
    <w:p w14:paraId="6FCB93CE">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Ademais, na licitação por itens, o objeto é dividido em partes específicas, cada qual representando um bem de forma autônoma, razão pela qual aumenta a competitividade do certame, pois possibilita a participação de vários fornecedores, fomentando, assim, o princípio da ampla concorrência. </w:t>
      </w:r>
    </w:p>
    <w:p w14:paraId="09B676F9">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Conclui-se, portanto, que o modelo definido para esta contratação é o mais adequado tanto técnica quanto economicamente, sem restringir ou prejudicar a competitividade do certame e, consequentemente, o mais adequado para promover a maior vantajosidade para o Estado.</w:t>
      </w:r>
    </w:p>
    <w:p w14:paraId="563F6ED4">
      <w:pPr>
        <w:widowControl w:val="0"/>
        <w:tabs>
          <w:tab w:val="left" w:pos="0"/>
          <w:tab w:val="left" w:pos="567"/>
          <w:tab w:val="left" w:pos="993"/>
        </w:tabs>
        <w:spacing w:before="120" w:after="0" w:line="240" w:lineRule="auto"/>
        <w:jc w:val="both"/>
        <w:rPr>
          <w:rFonts w:eastAsia="Times New Roman" w:asciiTheme="majorHAnsi" w:hAnsiTheme="majorHAnsi" w:cstheme="majorHAnsi"/>
          <w:sz w:val="20"/>
          <w:szCs w:val="20"/>
        </w:rPr>
      </w:pPr>
    </w:p>
    <w:p w14:paraId="40153848">
      <w:pPr>
        <w:widowControl w:val="0"/>
        <w:numPr>
          <w:ilvl w:val="1"/>
          <w:numId w:val="5"/>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DA PREVISÃO DA VEDAÇÃO DE EMPRESAS SOB A FORMA DE CONSÓRCIO</w:t>
      </w:r>
    </w:p>
    <w:p w14:paraId="20D11831">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De acordo com o art. 15 da Lei nº 14.133/2021, a participação de empresas reunidas em consórcio poderá ser vedada, segundo discricionariedade da Administração, com base em justificativa técnica que leve em consideração as peculiaridades do caso concreto.</w:t>
      </w:r>
    </w:p>
    <w:p w14:paraId="219E1D71">
      <w:pPr>
        <w:widowControl w:val="0"/>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Assim, não poderá participar desta licitação consórcio de empresa, qualquer que seja sua forma de constituição, visto que não se faz necessária a conjugação de esforços para a prestação do presente fornecimento.</w:t>
      </w:r>
    </w:p>
    <w:p w14:paraId="5587B566">
      <w:pPr>
        <w:widowControl w:val="0"/>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ind w:left="0" w:firstLine="0"/>
        <w:jc w:val="both"/>
        <w:rPr>
          <w:rFonts w:eastAsia="Times New Roman" w:asciiTheme="majorHAnsi" w:hAnsiTheme="majorHAnsi" w:cstheme="majorHAnsi"/>
          <w:color w:val="2E74B5"/>
          <w:sz w:val="20"/>
          <w:szCs w:val="20"/>
        </w:rPr>
      </w:pPr>
      <w:r>
        <w:rPr>
          <w:rFonts w:eastAsia="Times New Roman" w:asciiTheme="majorHAnsi" w:hAnsiTheme="majorHAnsi" w:cstheme="majorHAnsi"/>
          <w:color w:val="000000"/>
          <w:sz w:val="20"/>
          <w:szCs w:val="20"/>
        </w:rPr>
        <w:t>Além disso, no caso vertente, não se faz presente a premissa da complexidade do objeto, uma vez que se trata de fornecimento de medicamentos comumente fornecidos por qualquer empresa especializada no ramo, sem necessidade de conjugação de esforços em consórcio a fim de viabilizar o fornecimento. Destaca-se também que não são itens de alta complexidade, podendo ser encontrado no mercado sem dificuldade e não está presente o grande vulto da contratação, pois os itens podem ser contratados de forma parcelada, isso diminui a vultuosidade já que os mesmos poderão ser fornecidos por diversas empresas.</w:t>
      </w:r>
    </w:p>
    <w:p w14:paraId="1791AC01">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 w:val="left" w:pos="851"/>
          <w:tab w:val="left" w:pos="1276"/>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Por todo o exposto, conclui-se que a vedação da participação de empresas sob a forma de consórcio é à medida que melhor atende o interesse público, por prestigiar os princípios da competitividade, economicidade e moralidade. </w:t>
      </w:r>
    </w:p>
    <w:p w14:paraId="50329DF6">
      <w:pPr>
        <w:pBdr>
          <w:top w:val="none" w:color="auto" w:sz="0" w:space="0"/>
          <w:left w:val="none" w:color="auto" w:sz="0" w:space="0"/>
          <w:bottom w:val="none" w:color="auto" w:sz="0" w:space="0"/>
          <w:right w:val="none" w:color="auto" w:sz="0" w:space="0"/>
          <w:between w:val="none" w:color="auto" w:sz="0" w:space="0"/>
        </w:pBdr>
        <w:tabs>
          <w:tab w:val="left" w:pos="567"/>
          <w:tab w:val="left" w:pos="851"/>
          <w:tab w:val="left" w:pos="1276"/>
        </w:tabs>
        <w:spacing w:before="120" w:after="0" w:line="240" w:lineRule="auto"/>
        <w:jc w:val="both"/>
        <w:rPr>
          <w:rFonts w:eastAsia="Times New Roman" w:asciiTheme="majorHAnsi" w:hAnsiTheme="majorHAnsi" w:cstheme="majorHAnsi"/>
          <w:color w:val="000000"/>
          <w:sz w:val="20"/>
          <w:szCs w:val="20"/>
        </w:rPr>
      </w:pPr>
    </w:p>
    <w:p w14:paraId="061164D8">
      <w:pPr>
        <w:widowControl w:val="0"/>
        <w:numPr>
          <w:ilvl w:val="1"/>
          <w:numId w:val="5"/>
        </w:numPr>
        <w:pBdr>
          <w:top w:val="none" w:color="auto" w:sz="0" w:space="0"/>
          <w:left w:val="none" w:color="auto" w:sz="0" w:space="0"/>
          <w:bottom w:val="none" w:color="auto" w:sz="0" w:space="0"/>
          <w:right w:val="none" w:color="auto" w:sz="0" w:space="0"/>
          <w:between w:val="none" w:color="auto" w:sz="0" w:space="0"/>
        </w:pBdr>
        <w:tabs>
          <w:tab w:val="left" w:pos="426"/>
          <w:tab w:val="left" w:pos="1134"/>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DA PARTICIPAÇÃO DE PROFISSIONAIS ORGANIZADOS EM COOPERATIVA NA LICITAÇÃO</w:t>
      </w:r>
      <w:r>
        <w:rPr>
          <w:rFonts w:eastAsia="Times New Roman" w:asciiTheme="majorHAnsi" w:hAnsiTheme="majorHAnsi" w:cstheme="majorHAnsi"/>
          <w:b/>
          <w:color w:val="0070C0"/>
          <w:sz w:val="20"/>
          <w:szCs w:val="20"/>
        </w:rPr>
        <w:t xml:space="preserve"> </w:t>
      </w:r>
    </w:p>
    <w:p w14:paraId="2A764B3F">
      <w:pPr>
        <w:numPr>
          <w:ilvl w:val="2"/>
          <w:numId w:val="5"/>
        </w:numPr>
        <w:pBdr>
          <w:top w:val="none" w:color="auto" w:sz="0" w:space="0"/>
          <w:left w:val="none" w:color="auto" w:sz="0" w:space="0"/>
          <w:bottom w:val="none" w:color="auto" w:sz="0" w:space="0"/>
          <w:right w:val="none" w:color="auto" w:sz="0" w:space="0"/>
          <w:between w:val="none" w:color="auto" w:sz="0" w:space="0"/>
        </w:pBdr>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É permitida a participação de profissionais organizados em cooperativas, na forma do disposto no art. 16, da Lei nº 14.133/2021, na presente licitação.</w:t>
      </w:r>
    </w:p>
    <w:p w14:paraId="33260346">
      <w:pPr>
        <w:pBdr>
          <w:top w:val="none" w:color="auto" w:sz="0" w:space="0"/>
          <w:left w:val="none" w:color="auto" w:sz="0" w:space="0"/>
          <w:bottom w:val="none" w:color="auto" w:sz="0" w:space="0"/>
          <w:right w:val="none" w:color="auto" w:sz="0" w:space="0"/>
          <w:between w:val="none" w:color="auto" w:sz="0" w:space="0"/>
        </w:pBdr>
        <w:spacing w:after="0"/>
        <w:jc w:val="both"/>
        <w:rPr>
          <w:rFonts w:eastAsia="Times New Roman" w:asciiTheme="majorHAnsi" w:hAnsiTheme="majorHAnsi" w:cstheme="majorHAnsi"/>
          <w:color w:val="000000"/>
          <w:sz w:val="20"/>
          <w:szCs w:val="20"/>
        </w:rPr>
      </w:pPr>
    </w:p>
    <w:p w14:paraId="0D9859E2">
      <w:pPr>
        <w:widowControl w:val="0"/>
        <w:numPr>
          <w:ilvl w:val="1"/>
          <w:numId w:val="5"/>
        </w:numPr>
        <w:pBdr>
          <w:top w:val="none" w:color="auto" w:sz="0" w:space="0"/>
          <w:left w:val="none" w:color="auto" w:sz="0" w:space="0"/>
          <w:bottom w:val="none" w:color="auto" w:sz="0" w:space="0"/>
          <w:right w:val="none" w:color="auto" w:sz="0" w:space="0"/>
          <w:between w:val="none" w:color="auto" w:sz="0" w:space="0"/>
        </w:pBdr>
        <w:tabs>
          <w:tab w:val="left" w:pos="426"/>
          <w:tab w:val="left" w:pos="993"/>
        </w:tabs>
        <w:spacing w:after="0" w:line="240" w:lineRule="auto"/>
        <w:ind w:left="0" w:right="-285"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 xml:space="preserve">DA PARTICIPAÇÃO DE PESSOAS FÍSICAS NA LICITAÇÃO </w:t>
      </w:r>
    </w:p>
    <w:p w14:paraId="4C2FA959">
      <w:pPr>
        <w:numPr>
          <w:ilvl w:val="2"/>
          <w:numId w:val="5"/>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É vedada a participação de pessoas físicas na presente licitação, uma vez que se faz necessária a apresentação da autorização de Funcionamento da Empresa (AFE) expedida pela Agência Nacional de Vigilância Sanitária (ANVISA) e esta é reservada à Pessoa Jurídica nos termos da Lei n° 6.360/1976. Tal vedação parte do princípio de que pessoas físicas não podem cumprir os requisitos técnicos e administrativos constantes da RDC n° 16 / 2014. Portanto, não poderão realizar atividades de armazenamento, distribuição, embalagem, expedição, exportação, extração, fabricação, fracionamento, importação, produção, purificação, reembalagem, síntese, transformação e transporte de medicamentos e insumos farmacêuticos destinados a uso humanos, produtos para saúde, cosméticos, produtos de higiene pessoal, perfumes, saneantes e envase ou enchimento de gases medicinais, sendo permitidas essas atividades somente a empresas e que são reguladas em seu funcionamento pela ANVISA, através do documento Autorização de Funcionamento de Empresa (AFE) que confere que o estabelecimento está cumprindo a Legislação Sanitária, de acordo os termos da Lei nº 6.360/1976.</w:t>
      </w:r>
    </w:p>
    <w:p w14:paraId="074CEF3D">
      <w:p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jc w:val="both"/>
        <w:rPr>
          <w:rFonts w:eastAsia="Times New Roman" w:asciiTheme="majorHAnsi" w:hAnsiTheme="majorHAnsi" w:cstheme="majorHAnsi"/>
          <w:color w:val="000000"/>
          <w:sz w:val="20"/>
          <w:szCs w:val="20"/>
        </w:rPr>
      </w:pPr>
    </w:p>
    <w:p w14:paraId="40657ABE">
      <w:pPr>
        <w:widowControl w:val="0"/>
        <w:numPr>
          <w:ilvl w:val="1"/>
          <w:numId w:val="5"/>
        </w:numPr>
        <w:pBdr>
          <w:top w:val="none" w:color="auto" w:sz="0" w:space="0"/>
          <w:left w:val="none" w:color="auto" w:sz="0" w:space="0"/>
          <w:bottom w:val="none" w:color="auto" w:sz="0" w:space="0"/>
          <w:right w:val="none" w:color="auto" w:sz="0" w:space="0"/>
          <w:between w:val="none" w:color="auto" w:sz="0" w:space="0"/>
        </w:pBdr>
        <w:tabs>
          <w:tab w:val="left" w:pos="426"/>
          <w:tab w:val="left" w:pos="1134"/>
        </w:tabs>
        <w:spacing w:before="120" w:after="0" w:line="240" w:lineRule="auto"/>
        <w:ind w:left="0" w:right="-285"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DA PARTICIPAÇÃO DE AGRICULTOR FAMILIAR / PRODUTOR RURAL NA LICITAÇÃO</w:t>
      </w:r>
    </w:p>
    <w:p w14:paraId="3C6E3F76">
      <w:pPr>
        <w:widowControl w:val="0"/>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É vedada a participação de agricultor familiar E/OU produtor rural na presente licitação, uma vez que as condições técnicas e físicas necessárias ao fornecimento do objeto pretendido (medicamentos), são avaliadas objetivamente por meio de requisitos que não são compatíveis com a capacidade jurídica do agricultor familiar e produtor rural. </w:t>
      </w:r>
    </w:p>
    <w:p w14:paraId="7FF5F9DC">
      <w:pPr>
        <w:widowControl w:val="0"/>
        <w:numPr>
          <w:ilvl w:val="2"/>
          <w:numId w:val="5"/>
        </w:numPr>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 agricultor familiar e o empreendedor familiar rural são aqueles que praticam atividades no meio rural (em conformidade com a lei nº 11.326/2006), não guardando correlação com o cumprimento dos requisitos técnicos e administrativos constantes da RDC n° 16/2014. Portanto, não podendo realizar atividades de armazenamento, distribuição, embalagem, expedição, exportação, extração, fabricação, fracionamento, importação, produção, purificação, reembalagem, síntese, transformação e transporte de medicamentos e insumos farmacêuticos destinados a uso humanos, produtos para saúde, cosméticos, produtos de higiene pessoal, perfumes, saneantes e envase ou enchimento de gases medicinais, sendo permitidas essas atividades somente a empresas e que são reguladas em seu funcionamento pela ANVISA, através do documento Autorização de Funcionamento de Empresa (AFE) que confere que o estabelecimento está cumprindo a Legislação Sanitária, de acordo os termos da Lei nº 6.360/1976.</w:t>
      </w:r>
    </w:p>
    <w:p w14:paraId="7CA15034">
      <w:pPr>
        <w:widowControl w:val="0"/>
        <w:pBdr>
          <w:top w:val="none" w:color="auto" w:sz="0" w:space="0"/>
          <w:left w:val="none" w:color="auto" w:sz="0" w:space="0"/>
          <w:bottom w:val="none" w:color="auto" w:sz="0" w:space="0"/>
          <w:right w:val="none" w:color="auto" w:sz="0" w:space="0"/>
          <w:between w:val="none" w:color="auto" w:sz="0" w:space="0"/>
        </w:pBdr>
        <w:tabs>
          <w:tab w:val="left" w:pos="567"/>
          <w:tab w:val="left" w:pos="709"/>
          <w:tab w:val="left" w:pos="851"/>
        </w:tabs>
        <w:spacing w:before="120" w:after="0" w:line="240" w:lineRule="auto"/>
        <w:jc w:val="both"/>
        <w:rPr>
          <w:rFonts w:eastAsia="Times New Roman" w:asciiTheme="majorHAnsi" w:hAnsiTheme="majorHAnsi" w:cstheme="majorHAnsi"/>
          <w:color w:val="000000"/>
          <w:sz w:val="20"/>
          <w:szCs w:val="20"/>
        </w:rPr>
      </w:pPr>
    </w:p>
    <w:p w14:paraId="5171671D">
      <w:pPr>
        <w:numPr>
          <w:ilvl w:val="0"/>
          <w:numId w:val="6"/>
        </w:numPr>
        <w:pBdr>
          <w:top w:val="none" w:color="auto" w:sz="0" w:space="0"/>
          <w:left w:val="none" w:color="auto" w:sz="0" w:space="0"/>
          <w:bottom w:val="none" w:color="auto" w:sz="0" w:space="0"/>
          <w:right w:val="none" w:color="auto" w:sz="0" w:space="0"/>
          <w:between w:val="none" w:color="auto" w:sz="0" w:space="0"/>
        </w:pBdr>
        <w:shd w:val="clear" w:color="auto" w:fill="8EAADB" w:themeFill="accent1" w:themeFillTint="99"/>
        <w:tabs>
          <w:tab w:val="left" w:pos="284"/>
        </w:tabs>
        <w:spacing w:before="120" w:after="0" w:line="240" w:lineRule="auto"/>
        <w:jc w:val="both"/>
        <w:rPr>
          <w:rFonts w:eastAsia="Times New Roman" w:asciiTheme="majorHAnsi" w:hAnsiTheme="majorHAnsi" w:cstheme="majorHAnsi"/>
          <w:b/>
          <w:color w:val="000000"/>
          <w:sz w:val="20"/>
          <w:szCs w:val="20"/>
        </w:rPr>
      </w:pPr>
      <w:bookmarkStart w:id="1" w:name="_heading=h.wbr1sh5j1ttj" w:colFirst="0" w:colLast="0"/>
      <w:bookmarkEnd w:id="1"/>
      <w:r>
        <w:rPr>
          <w:rFonts w:eastAsia="Times New Roman" w:asciiTheme="majorHAnsi" w:hAnsiTheme="majorHAnsi" w:cstheme="majorHAnsi"/>
          <w:b/>
          <w:color w:val="000000"/>
          <w:sz w:val="20"/>
          <w:szCs w:val="20"/>
        </w:rPr>
        <w:t>DAS ESPECIFICAÇÕES DO OBJETO</w:t>
      </w:r>
    </w:p>
    <w:p w14:paraId="48938140">
      <w:pPr>
        <w:numPr>
          <w:ilvl w:val="1"/>
          <w:numId w:val="6"/>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DESCRIÇÃO DO FORNECIMENTO/ DETALHAMENTO DO OBJETO</w:t>
      </w:r>
    </w:p>
    <w:p w14:paraId="54D5217D">
      <w:pPr>
        <w:numPr>
          <w:ilvl w:val="2"/>
          <w:numId w:val="7"/>
        </w:numPr>
        <w:tabs>
          <w:tab w:val="left" w:pos="0"/>
        </w:tabs>
        <w:spacing w:after="0" w:line="276" w:lineRule="auto"/>
        <w:ind w:left="0" w:firstLine="0"/>
        <w:jc w:val="both"/>
        <w:rPr>
          <w:rFonts w:eastAsia="Times New Roman" w:asciiTheme="majorHAnsi" w:hAnsiTheme="majorHAnsi" w:cstheme="majorHAnsi"/>
          <w:color w:val="000000"/>
          <w:sz w:val="20"/>
          <w:szCs w:val="20"/>
        </w:rPr>
      </w:pPr>
      <w:bookmarkStart w:id="2" w:name="_heading=h.71gjxye84c5e" w:colFirst="0" w:colLast="0"/>
      <w:bookmarkEnd w:id="2"/>
      <w:r>
        <w:rPr>
          <w:rFonts w:eastAsia="Times New Roman" w:asciiTheme="majorHAnsi" w:hAnsiTheme="majorHAnsi" w:cstheme="majorHAnsi"/>
          <w:color w:val="000000"/>
          <w:sz w:val="20"/>
          <w:szCs w:val="20"/>
        </w:rPr>
        <w:t>Além da descrição apresentada no quadro do item 1 deste Termo de Referência, para a aquisição do objeto deve-se observar as seguintes características:</w:t>
      </w:r>
    </w:p>
    <w:p w14:paraId="6D10DAAE">
      <w:pPr>
        <w:spacing w:after="0"/>
        <w:jc w:val="both"/>
        <w:rPr>
          <w:rFonts w:eastAsia="Times New Roman" w:asciiTheme="majorHAnsi" w:hAnsiTheme="majorHAnsi" w:cstheme="majorHAnsi"/>
          <w:color w:val="000000"/>
          <w:sz w:val="20"/>
          <w:szCs w:val="20"/>
        </w:rPr>
      </w:pPr>
    </w:p>
    <w:p w14:paraId="70AAF9EC">
      <w:pPr>
        <w:numPr>
          <w:ilvl w:val="0"/>
          <w:numId w:val="8"/>
        </w:numPr>
        <w:tabs>
          <w:tab w:val="left" w:pos="851"/>
        </w:tabs>
        <w:spacing w:after="0"/>
        <w:ind w:left="426"/>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aquisições de medicamentos, sob qualquer modalidade de compra, devem adotar a Denominação Comum Brasileira (DCB) ou, na sua falta, a Denominação Comum Internacional (DCI) vigente;</w:t>
      </w:r>
    </w:p>
    <w:p w14:paraId="18A5D9E0">
      <w:pPr>
        <w:tabs>
          <w:tab w:val="left" w:pos="851"/>
        </w:tabs>
        <w:spacing w:after="0"/>
        <w:ind w:left="426"/>
        <w:jc w:val="both"/>
        <w:rPr>
          <w:rFonts w:eastAsia="Times New Roman" w:asciiTheme="majorHAnsi" w:hAnsiTheme="majorHAnsi" w:cstheme="majorHAnsi"/>
          <w:color w:val="000000"/>
          <w:sz w:val="20"/>
          <w:szCs w:val="20"/>
        </w:rPr>
      </w:pPr>
    </w:p>
    <w:p w14:paraId="0088CAF3">
      <w:pPr>
        <w:numPr>
          <w:ilvl w:val="0"/>
          <w:numId w:val="8"/>
        </w:numPr>
        <w:tabs>
          <w:tab w:val="left" w:pos="851"/>
        </w:tabs>
        <w:spacing w:after="0"/>
        <w:ind w:left="426"/>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O acondicionamento, armazenamento e o transporte dos medicamentos deverão ser feitos respeitando as normas técnicas e diretrizes dos órgãos fiscalizadores (ANVISA/ RDC nº 430/2020) de acordo com o exigido para cada tipo de produto, devidamente protegido de pó e de variações de temperatura e umidade, de modo a garantir a qualidade e integridade do mesmo; </w:t>
      </w:r>
    </w:p>
    <w:p w14:paraId="34CD1618">
      <w:pPr>
        <w:tabs>
          <w:tab w:val="left" w:pos="851"/>
        </w:tabs>
        <w:spacing w:after="0"/>
        <w:ind w:left="426"/>
        <w:jc w:val="both"/>
        <w:rPr>
          <w:rFonts w:eastAsia="Times New Roman" w:asciiTheme="majorHAnsi" w:hAnsiTheme="majorHAnsi" w:cstheme="majorHAnsi"/>
          <w:color w:val="000000"/>
          <w:sz w:val="20"/>
          <w:szCs w:val="20"/>
        </w:rPr>
      </w:pPr>
    </w:p>
    <w:p w14:paraId="281669B8">
      <w:pPr>
        <w:numPr>
          <w:ilvl w:val="0"/>
          <w:numId w:val="8"/>
        </w:numPr>
        <w:tabs>
          <w:tab w:val="left" w:pos="851"/>
        </w:tabs>
        <w:spacing w:after="0"/>
        <w:ind w:left="426"/>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embalagens, rótulos e bulas dos medicamentos devem obedecer às regras de padronização da Secretaria de Vigilância Sanitária do Ministério da Saúde constantes da Portaria nº 334 de 12 de maio de 1998, do Ministérios da Saúde</w:t>
      </w:r>
    </w:p>
    <w:p w14:paraId="07146B9D">
      <w:pPr>
        <w:tabs>
          <w:tab w:val="left" w:pos="851"/>
        </w:tabs>
        <w:spacing w:after="0"/>
        <w:ind w:left="426"/>
        <w:jc w:val="both"/>
        <w:rPr>
          <w:rFonts w:eastAsia="Times New Roman" w:asciiTheme="majorHAnsi" w:hAnsiTheme="majorHAnsi" w:cstheme="majorHAnsi"/>
          <w:color w:val="000000"/>
          <w:sz w:val="20"/>
          <w:szCs w:val="20"/>
        </w:rPr>
      </w:pPr>
    </w:p>
    <w:p w14:paraId="6ABFA095">
      <w:pPr>
        <w:numPr>
          <w:ilvl w:val="0"/>
          <w:numId w:val="8"/>
        </w:numPr>
        <w:tabs>
          <w:tab w:val="left" w:pos="851"/>
        </w:tabs>
        <w:spacing w:after="0"/>
        <w:ind w:left="426"/>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Os medicamentos deverão ser comercializados em embalagens invioláveis e de fácil identificação, contendo de forma visível e irremovível a seguinte informação: “PROIBIDA A VENDA PELO COMÉRCIO” (vide art. 7º da Portaria nº. 2.814/1998 do Ministério da Saúde). Em caso de latas ou frascos, esses dizeres devem estar no corpo da embalagem e não na tampa.</w:t>
      </w:r>
    </w:p>
    <w:p w14:paraId="32990AEB">
      <w:pPr>
        <w:tabs>
          <w:tab w:val="left" w:pos="851"/>
        </w:tabs>
        <w:spacing w:after="0"/>
        <w:ind w:left="426"/>
        <w:jc w:val="both"/>
        <w:rPr>
          <w:rFonts w:eastAsia="Times New Roman" w:asciiTheme="majorHAnsi" w:hAnsiTheme="majorHAnsi" w:cstheme="majorHAnsi"/>
          <w:color w:val="000000"/>
          <w:sz w:val="20"/>
          <w:szCs w:val="20"/>
        </w:rPr>
      </w:pPr>
    </w:p>
    <w:p w14:paraId="1FDD96C7">
      <w:pPr>
        <w:numPr>
          <w:ilvl w:val="0"/>
          <w:numId w:val="8"/>
        </w:numPr>
        <w:tabs>
          <w:tab w:val="left" w:pos="851"/>
        </w:tabs>
        <w:spacing w:after="0"/>
        <w:ind w:left="426"/>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embalagens dos medicamentos registrados devem apresentar identificação específica baseada em sistema de captura, armazenamento e transmissão eletrônica de dados, contendo minimamente as seguintes informações: número de registro do medicamento na Anvisa; número de série único do medicamento; número do lote ou da partida do medicamento e data de validade do medicamento, em atendimento ao art. 3º, § 1º, da Lei nº 11.903/2009;</w:t>
      </w:r>
    </w:p>
    <w:p w14:paraId="45C3A983">
      <w:pPr>
        <w:tabs>
          <w:tab w:val="left" w:pos="851"/>
        </w:tabs>
        <w:spacing w:after="0"/>
        <w:ind w:left="426"/>
        <w:jc w:val="both"/>
        <w:rPr>
          <w:rFonts w:eastAsia="Times New Roman" w:asciiTheme="majorHAnsi" w:hAnsiTheme="majorHAnsi" w:cstheme="majorHAnsi"/>
          <w:color w:val="000000"/>
          <w:sz w:val="20"/>
          <w:szCs w:val="20"/>
        </w:rPr>
      </w:pPr>
    </w:p>
    <w:p w14:paraId="1B6017D3">
      <w:pPr>
        <w:numPr>
          <w:ilvl w:val="0"/>
          <w:numId w:val="8"/>
        </w:numPr>
        <w:tabs>
          <w:tab w:val="left" w:pos="851"/>
        </w:tabs>
        <w:spacing w:after="0"/>
        <w:ind w:left="426"/>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 rótulo e a bula devem conter informações em língua portuguesa, tais como: número de lote, data de fabricação, validade, nome do farmacêutico responsável técnico com respectivo CRF, número do registro na Anvisa ou notificação simplificada, conforme o caso, nome genérico e concentração, de acordo com a Legislação Sanitária e nos Termos do artigo 31 do Código de Defesa do Consumidor;</w:t>
      </w:r>
    </w:p>
    <w:p w14:paraId="5CCDD645">
      <w:pPr>
        <w:tabs>
          <w:tab w:val="left" w:pos="851"/>
        </w:tabs>
        <w:spacing w:after="0"/>
        <w:ind w:left="426"/>
        <w:jc w:val="both"/>
        <w:rPr>
          <w:rFonts w:eastAsia="Times New Roman" w:asciiTheme="majorHAnsi" w:hAnsiTheme="majorHAnsi" w:cstheme="majorHAnsi"/>
          <w:color w:val="000000"/>
          <w:sz w:val="20"/>
          <w:szCs w:val="20"/>
        </w:rPr>
      </w:pPr>
    </w:p>
    <w:p w14:paraId="4B830ED4">
      <w:pPr>
        <w:numPr>
          <w:ilvl w:val="2"/>
          <w:numId w:val="7"/>
        </w:numPr>
        <w:tabs>
          <w:tab w:val="left" w:pos="567"/>
        </w:tabs>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O licitante deve levar em consideração as normas técnicas eventualmente existentes sobre o objeto e demais requisitos mínimos de qualidade, utilidade, resistência e segurança, conforme legislação vigente.  </w:t>
      </w:r>
    </w:p>
    <w:p w14:paraId="4308A8A3">
      <w:pPr>
        <w:numPr>
          <w:ilvl w:val="1"/>
          <w:numId w:val="6"/>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jc w:val="both"/>
        <w:rPr>
          <w:rFonts w:eastAsia="Times New Roman" w:asciiTheme="majorHAnsi" w:hAnsiTheme="majorHAnsi" w:cstheme="majorHAnsi"/>
          <w:b/>
          <w:color w:val="000000"/>
          <w:sz w:val="20"/>
          <w:szCs w:val="20"/>
        </w:rPr>
      </w:pPr>
      <w:bookmarkStart w:id="3" w:name="_heading=h.tif70wljce4a" w:colFirst="0" w:colLast="0"/>
      <w:bookmarkEnd w:id="3"/>
      <w:r>
        <w:rPr>
          <w:rFonts w:eastAsia="Times New Roman" w:asciiTheme="majorHAnsi" w:hAnsiTheme="majorHAnsi" w:cstheme="majorHAnsi"/>
          <w:b/>
          <w:color w:val="000000"/>
          <w:sz w:val="20"/>
          <w:szCs w:val="20"/>
        </w:rPr>
        <w:t>DA EXECUÇÃO DO OBJETO</w:t>
      </w:r>
    </w:p>
    <w:p w14:paraId="5657E55A">
      <w:pPr>
        <w:numPr>
          <w:ilvl w:val="1"/>
          <w:numId w:val="9"/>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asciiTheme="majorHAnsi" w:hAnsiTheme="majorHAnsi" w:cstheme="majorHAnsi"/>
          <w:sz w:val="20"/>
          <w:szCs w:val="20"/>
        </w:rPr>
      </w:pPr>
      <w:r>
        <w:rPr>
          <w:rFonts w:eastAsia="Times New Roman" w:asciiTheme="majorHAnsi" w:hAnsiTheme="majorHAnsi" w:cstheme="majorHAnsi"/>
          <w:color w:val="000000"/>
          <w:sz w:val="20"/>
          <w:szCs w:val="20"/>
        </w:rPr>
        <w:t xml:space="preserve">A </w:t>
      </w:r>
      <w:r>
        <w:rPr>
          <w:rFonts w:eastAsia="Times New Roman" w:asciiTheme="majorHAnsi" w:hAnsiTheme="majorHAnsi" w:cstheme="majorHAnsi"/>
          <w:b/>
          <w:color w:val="000000"/>
          <w:sz w:val="20"/>
          <w:szCs w:val="20"/>
        </w:rPr>
        <w:t>entrega dos medicamentos</w:t>
      </w:r>
      <w:r>
        <w:rPr>
          <w:rFonts w:eastAsia="Times New Roman" w:asciiTheme="majorHAnsi" w:hAnsiTheme="majorHAnsi" w:cstheme="majorHAnsi"/>
          <w:color w:val="000000"/>
          <w:sz w:val="20"/>
          <w:szCs w:val="20"/>
        </w:rPr>
        <w:t xml:space="preserve"> será realizada de </w:t>
      </w:r>
      <w:r>
        <w:rPr>
          <w:rFonts w:eastAsia="Times New Roman" w:asciiTheme="majorHAnsi" w:hAnsiTheme="majorHAnsi" w:cstheme="majorHAnsi"/>
          <w:b/>
          <w:color w:val="000000"/>
          <w:sz w:val="20"/>
          <w:szCs w:val="20"/>
        </w:rPr>
        <w:t>forma imediata</w:t>
      </w:r>
      <w:r>
        <w:rPr>
          <w:rFonts w:eastAsia="Times New Roman" w:asciiTheme="majorHAnsi" w:hAnsiTheme="majorHAnsi" w:cstheme="majorHAnsi"/>
          <w:color w:val="000000"/>
          <w:sz w:val="20"/>
          <w:szCs w:val="20"/>
        </w:rPr>
        <w:t xml:space="preserve">, em remessa única, no prazo de até </w:t>
      </w:r>
      <w:r>
        <w:rPr>
          <w:rFonts w:eastAsia="Times New Roman" w:asciiTheme="majorHAnsi" w:hAnsiTheme="majorHAnsi" w:cstheme="majorHAnsi"/>
          <w:b/>
          <w:sz w:val="20"/>
          <w:szCs w:val="20"/>
        </w:rPr>
        <w:t>10 (dez) dias úteis</w:t>
      </w:r>
      <w:r>
        <w:rPr>
          <w:rFonts w:eastAsia="Times New Roman" w:asciiTheme="majorHAnsi" w:hAnsiTheme="majorHAnsi" w:cstheme="majorHAnsi"/>
          <w:color w:val="000000"/>
          <w:sz w:val="20"/>
          <w:szCs w:val="20"/>
        </w:rPr>
        <w:t>, contados da notificação da emissão da Ordem de Fornecimento(</w:t>
      </w:r>
      <w:r>
        <w:rPr>
          <w:rFonts w:eastAsia="Times New Roman" w:asciiTheme="majorHAnsi" w:hAnsiTheme="majorHAnsi" w:cstheme="majorHAnsi"/>
          <w:b/>
          <w:color w:val="000000"/>
          <w:sz w:val="20"/>
          <w:szCs w:val="20"/>
        </w:rPr>
        <w:t>Anexo A</w:t>
      </w:r>
      <w:r>
        <w:rPr>
          <w:rFonts w:eastAsia="Times New Roman" w:asciiTheme="majorHAnsi" w:hAnsiTheme="majorHAnsi" w:cstheme="majorHAnsi"/>
          <w:color w:val="000000"/>
          <w:sz w:val="20"/>
          <w:szCs w:val="20"/>
        </w:rPr>
        <w:t>) acompanhada da Nota de Empenho.</w:t>
      </w:r>
    </w:p>
    <w:p w14:paraId="302ABBE2">
      <w:pPr>
        <w:numPr>
          <w:ilvl w:val="2"/>
          <w:numId w:val="10"/>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ind w:left="0" w:firstLine="0"/>
        <w:jc w:val="both"/>
        <w:rPr>
          <w:rFonts w:eastAsia="Times New Roman" w:asciiTheme="majorHAnsi" w:hAnsiTheme="majorHAnsi" w:cstheme="majorHAnsi"/>
          <w:sz w:val="20"/>
          <w:szCs w:val="20"/>
        </w:rPr>
      </w:pPr>
      <w:r>
        <w:rPr>
          <w:rFonts w:eastAsia="Times New Roman" w:asciiTheme="majorHAnsi" w:hAnsiTheme="majorHAnsi" w:cstheme="majorHAnsi"/>
          <w:color w:val="000000"/>
          <w:sz w:val="20"/>
          <w:szCs w:val="20"/>
        </w:rPr>
        <w:t>O quantitativo licitado será solicitado de acordo com a necessidade de fornecimento do Centro Universitário Integrado de Saúde Amaury de Medeiros e, caso tenham manifestado interesse a Intenção de Registro de Preço, os demais órgãos participantes (vide item 6.3.), devendo ser efetuado através de uma ordem de fornecimento (</w:t>
      </w:r>
      <w:r>
        <w:rPr>
          <w:rFonts w:eastAsia="Times New Roman" w:asciiTheme="majorHAnsi" w:hAnsiTheme="majorHAnsi" w:cstheme="majorHAnsi"/>
          <w:b/>
          <w:color w:val="000000"/>
          <w:sz w:val="20"/>
          <w:szCs w:val="20"/>
        </w:rPr>
        <w:t>Anexo A</w:t>
      </w:r>
      <w:r>
        <w:rPr>
          <w:rFonts w:eastAsia="Times New Roman" w:asciiTheme="majorHAnsi" w:hAnsiTheme="majorHAnsi" w:cstheme="majorHAnsi"/>
          <w:color w:val="000000"/>
          <w:sz w:val="20"/>
          <w:szCs w:val="20"/>
        </w:rPr>
        <w:t>) para entrega imediata.</w:t>
      </w:r>
    </w:p>
    <w:p w14:paraId="3F7EF3D6">
      <w:pPr>
        <w:numPr>
          <w:ilvl w:val="2"/>
          <w:numId w:val="10"/>
        </w:num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ind w:left="0" w:firstLine="0"/>
        <w:jc w:val="both"/>
        <w:rPr>
          <w:rFonts w:eastAsia="Times New Roman" w:asciiTheme="majorHAnsi" w:hAnsiTheme="majorHAnsi" w:cstheme="majorHAnsi"/>
          <w:sz w:val="20"/>
          <w:szCs w:val="20"/>
        </w:rPr>
      </w:pPr>
      <w:r>
        <w:rPr>
          <w:rFonts w:eastAsia="Times New Roman" w:asciiTheme="majorHAnsi" w:hAnsiTheme="majorHAnsi" w:cstheme="majorHAnsi"/>
          <w:color w:val="000000"/>
          <w:sz w:val="20"/>
          <w:szCs w:val="20"/>
        </w:rPr>
        <w:t>A entrega será realizada no local e horário estabelecidos na ordem de fornecimento (</w:t>
      </w:r>
      <w:r>
        <w:rPr>
          <w:rFonts w:eastAsia="Times New Roman" w:asciiTheme="majorHAnsi" w:hAnsiTheme="majorHAnsi" w:cstheme="majorHAnsi"/>
          <w:b/>
          <w:color w:val="000000"/>
          <w:sz w:val="20"/>
          <w:szCs w:val="20"/>
        </w:rPr>
        <w:t>Anexo A</w:t>
      </w:r>
      <w:r>
        <w:rPr>
          <w:rFonts w:eastAsia="Times New Roman" w:asciiTheme="majorHAnsi" w:hAnsiTheme="majorHAnsi" w:cstheme="majorHAnsi"/>
          <w:color w:val="000000"/>
          <w:sz w:val="20"/>
          <w:szCs w:val="20"/>
        </w:rPr>
        <w:t xml:space="preserve">), sem qualquer ônus para o Contratante, </w:t>
      </w:r>
      <w:r>
        <w:rPr>
          <w:rFonts w:ascii="Calibri Light" w:hAnsi="Calibri Light" w:cs="Calibri Light"/>
          <w:sz w:val="20"/>
          <w:szCs w:val="20"/>
          <w:lang w:eastAsia="en-US"/>
        </w:rPr>
        <w:t>onde os medicamentos serão conferidos e recebidos.</w:t>
      </w:r>
    </w:p>
    <w:p w14:paraId="0C7C4A37">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jc w:val="both"/>
        <w:rPr>
          <w:rFonts w:ascii="Calibri Light" w:hAnsi="Calibri Light" w:eastAsia="Times New Roman" w:cs="Calibri Light"/>
          <w:sz w:val="20"/>
          <w:szCs w:val="20"/>
          <w:lang w:eastAsia="zh-CN"/>
        </w:rPr>
      </w:pPr>
      <w:r>
        <w:rPr>
          <w:rFonts w:eastAsia="Times New Roman" w:asciiTheme="majorHAnsi" w:hAnsiTheme="majorHAnsi" w:cstheme="majorHAnsi"/>
          <w:b/>
          <w:color w:val="000000"/>
          <w:sz w:val="20"/>
          <w:szCs w:val="20"/>
        </w:rPr>
        <w:t xml:space="preserve">3.2.4. </w:t>
      </w:r>
      <w:r>
        <w:rPr>
          <w:rFonts w:ascii="Calibri Light" w:hAnsi="Calibri Light" w:eastAsia="Times New Roman" w:cs="Calibri Light"/>
          <w:sz w:val="20"/>
          <w:szCs w:val="20"/>
          <w:lang w:eastAsia="zh-CN"/>
        </w:rPr>
        <w:t xml:space="preserve">A </w:t>
      </w:r>
      <w:r>
        <w:rPr>
          <w:rFonts w:ascii="Calibri Light" w:hAnsi="Calibri Light" w:eastAsia="Times New Roman" w:cs="Calibri Light"/>
          <w:b/>
          <w:bCs/>
          <w:sz w:val="20"/>
          <w:szCs w:val="20"/>
          <w:lang w:eastAsia="zh-CN"/>
        </w:rPr>
        <w:t>entrega dos dispositivos médicos</w:t>
      </w:r>
      <w:r>
        <w:rPr>
          <w:rFonts w:ascii="Calibri Light" w:hAnsi="Calibri Light" w:eastAsia="Times New Roman" w:cs="Calibri Light"/>
          <w:sz w:val="20"/>
          <w:szCs w:val="20"/>
          <w:lang w:eastAsia="zh-CN"/>
        </w:rPr>
        <w:t xml:space="preserve"> será realizada na </w:t>
      </w:r>
      <w:r>
        <w:rPr>
          <w:rFonts w:ascii="Calibri Light" w:hAnsi="Calibri Light" w:eastAsia="Times New Roman" w:cs="Calibri Light"/>
          <w:b/>
          <w:bCs/>
          <w:sz w:val="20"/>
          <w:szCs w:val="20"/>
          <w:lang w:eastAsia="zh-CN"/>
        </w:rPr>
        <w:t>Central de Abastecimento Farmacêutico do CISAM</w:t>
      </w:r>
      <w:r>
        <w:rPr>
          <w:rFonts w:ascii="Calibri Light" w:hAnsi="Calibri Light" w:eastAsia="Times New Roman" w:cs="Calibri Light"/>
          <w:sz w:val="20"/>
          <w:szCs w:val="20"/>
          <w:lang w:eastAsia="zh-CN"/>
        </w:rPr>
        <w:t>, na Rua Visconde de Mamanguape, s/n – Encruzilhada – Recife-PE CEP: 52030-010, mediante agendamento prévio através do telefone (81) 3182-7774, no horário das 08:00h às 12:00h e das 13:00h às 15:30h, em dias úteis de segunda-feira a sexta-feira ou pelo e-mail: farmacia.cisam@upe.br, onde os materiais serão conferidos e recebidos e os demais órgãos participantes, conforme especificado abaixo:</w:t>
      </w:r>
    </w:p>
    <w:p w14:paraId="053003BD">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jc w:val="both"/>
        <w:rPr>
          <w:rFonts w:ascii="Calibri Light" w:hAnsi="Calibri Light" w:eastAsia="Times New Roman" w:cs="Calibri Light"/>
          <w:sz w:val="20"/>
          <w:szCs w:val="20"/>
          <w:lang w:eastAsia="zh-CN"/>
        </w:rPr>
      </w:pPr>
    </w:p>
    <w:tbl>
      <w:tblPr>
        <w:tblStyle w:val="12"/>
        <w:tblW w:w="9452" w:type="dxa"/>
        <w:jc w:val="center"/>
        <w:tblLayout w:type="autofit"/>
        <w:tblCellMar>
          <w:top w:w="0" w:type="dxa"/>
          <w:left w:w="70" w:type="dxa"/>
          <w:bottom w:w="0" w:type="dxa"/>
          <w:right w:w="70" w:type="dxa"/>
        </w:tblCellMar>
      </w:tblPr>
      <w:tblGrid>
        <w:gridCol w:w="4289"/>
        <w:gridCol w:w="5163"/>
      </w:tblGrid>
      <w:tr w14:paraId="4A490240">
        <w:tblPrEx>
          <w:tblCellMar>
            <w:top w:w="0" w:type="dxa"/>
            <w:left w:w="70" w:type="dxa"/>
            <w:bottom w:w="0" w:type="dxa"/>
            <w:right w:w="70" w:type="dxa"/>
          </w:tblCellMar>
        </w:tblPrEx>
        <w:trPr>
          <w:trHeight w:val="248" w:hRule="atLeast"/>
          <w:jc w:val="center"/>
        </w:trPr>
        <w:tc>
          <w:tcPr>
            <w:tcW w:w="4289"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tcPr>
          <w:p w14:paraId="6AC8E900">
            <w:pPr>
              <w:widowControl w:val="0"/>
              <w:spacing w:after="0" w:line="240" w:lineRule="auto"/>
              <w:ind w:left="708"/>
              <w:jc w:val="center"/>
              <w:rPr>
                <w:rFonts w:asciiTheme="majorHAnsi" w:hAnsiTheme="majorHAnsi" w:cstheme="majorHAnsi"/>
                <w:b/>
                <w:sz w:val="20"/>
                <w:szCs w:val="20"/>
                <w:lang w:eastAsia="zh-CN"/>
              </w:rPr>
            </w:pPr>
            <w:r>
              <w:rPr>
                <w:rFonts w:asciiTheme="majorHAnsi" w:hAnsiTheme="majorHAnsi" w:cstheme="majorHAnsi"/>
                <w:b/>
                <w:sz w:val="20"/>
                <w:szCs w:val="20"/>
                <w:lang w:eastAsia="zh-CN"/>
              </w:rPr>
              <w:t>UNIDADE</w:t>
            </w:r>
          </w:p>
        </w:tc>
        <w:tc>
          <w:tcPr>
            <w:tcW w:w="5163"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tcPr>
          <w:p w14:paraId="2CF53705">
            <w:pPr>
              <w:widowControl w:val="0"/>
              <w:spacing w:after="0" w:line="240" w:lineRule="auto"/>
              <w:ind w:left="708"/>
              <w:jc w:val="center"/>
              <w:rPr>
                <w:rFonts w:asciiTheme="majorHAnsi" w:hAnsiTheme="majorHAnsi" w:cstheme="majorHAnsi"/>
                <w:b/>
                <w:sz w:val="20"/>
                <w:szCs w:val="20"/>
                <w:lang w:eastAsia="zh-CN"/>
              </w:rPr>
            </w:pPr>
            <w:r>
              <w:rPr>
                <w:rFonts w:asciiTheme="majorHAnsi" w:hAnsiTheme="majorHAnsi" w:cstheme="majorHAnsi"/>
                <w:b/>
                <w:sz w:val="20"/>
                <w:szCs w:val="20"/>
                <w:lang w:eastAsia="zh-CN"/>
              </w:rPr>
              <w:t>ENDEREÇO/HORÁRIO</w:t>
            </w:r>
          </w:p>
        </w:tc>
      </w:tr>
      <w:tr w14:paraId="29F325EF">
        <w:tblPrEx>
          <w:tblCellMar>
            <w:top w:w="0" w:type="dxa"/>
            <w:left w:w="70" w:type="dxa"/>
            <w:bottom w:w="0" w:type="dxa"/>
            <w:right w:w="70" w:type="dxa"/>
          </w:tblCellMar>
        </w:tblPrEx>
        <w:trPr>
          <w:trHeight w:val="300" w:hRule="atLeast"/>
          <w:jc w:val="center"/>
        </w:trPr>
        <w:tc>
          <w:tcPr>
            <w:tcW w:w="4289" w:type="dxa"/>
            <w:tcBorders>
              <w:top w:val="single" w:color="000000" w:sz="4" w:space="0"/>
              <w:left w:val="single" w:color="000000" w:sz="4" w:space="0"/>
              <w:bottom w:val="single" w:color="000000" w:sz="4" w:space="0"/>
              <w:right w:val="single" w:color="000000" w:sz="4" w:space="0"/>
            </w:tcBorders>
          </w:tcPr>
          <w:p w14:paraId="5E60E002">
            <w:pPr>
              <w:widowControl w:val="0"/>
              <w:spacing w:after="0" w:line="240" w:lineRule="auto"/>
              <w:jc w:val="center"/>
              <w:rPr>
                <w:rFonts w:asciiTheme="majorHAnsi" w:hAnsiTheme="majorHAnsi" w:cstheme="majorHAnsi"/>
                <w:sz w:val="20"/>
                <w:szCs w:val="20"/>
                <w:lang w:eastAsia="zh-CN"/>
              </w:rPr>
            </w:pPr>
            <w:r>
              <w:rPr>
                <w:rFonts w:asciiTheme="majorHAnsi" w:hAnsiTheme="majorHAnsi" w:cstheme="majorHAnsi"/>
                <w:sz w:val="20"/>
                <w:szCs w:val="20"/>
                <w:lang w:eastAsia="zh-CN"/>
              </w:rPr>
              <w:t>Hospital Agamenon Magalhães - HAM</w:t>
            </w:r>
          </w:p>
        </w:tc>
        <w:tc>
          <w:tcPr>
            <w:tcW w:w="5163" w:type="dxa"/>
            <w:tcBorders>
              <w:top w:val="single" w:color="000000" w:sz="4" w:space="0"/>
              <w:left w:val="single" w:color="000000" w:sz="4" w:space="0"/>
              <w:bottom w:val="single" w:color="000000" w:sz="4" w:space="0"/>
              <w:right w:val="single" w:color="000000" w:sz="4" w:space="0"/>
            </w:tcBorders>
          </w:tcPr>
          <w:p w14:paraId="10F68163">
            <w:pPr>
              <w:widowControl w:val="0"/>
              <w:spacing w:after="0" w:line="240" w:lineRule="auto"/>
              <w:jc w:val="center"/>
              <w:rPr>
                <w:rFonts w:asciiTheme="majorHAnsi" w:hAnsiTheme="majorHAnsi" w:cstheme="majorHAnsi"/>
                <w:b/>
                <w:sz w:val="20"/>
                <w:szCs w:val="20"/>
                <w:lang w:eastAsia="zh-CN"/>
              </w:rPr>
            </w:pPr>
            <w:r>
              <w:rPr>
                <w:rStyle w:val="13"/>
                <w:rFonts w:asciiTheme="majorHAnsi" w:hAnsiTheme="majorHAnsi" w:cstheme="majorHAnsi"/>
                <w:b w:val="0"/>
                <w:sz w:val="20"/>
                <w:szCs w:val="20"/>
                <w:shd w:val="clear" w:color="auto" w:fill="FFFFFF"/>
              </w:rPr>
              <w:t>Estrada do Arraial, 2723 - Casa Amarela, Recife - PE</w:t>
            </w:r>
            <w:r>
              <w:rPr>
                <w:rFonts w:asciiTheme="majorHAnsi" w:hAnsiTheme="majorHAnsi" w:cstheme="majorHAnsi"/>
                <w:b/>
                <w:sz w:val="20"/>
                <w:szCs w:val="20"/>
                <w:shd w:val="clear" w:color="auto" w:fill="FFFFFF"/>
              </w:rPr>
              <w:t xml:space="preserve">, </w:t>
            </w:r>
            <w:r>
              <w:rPr>
                <w:rFonts w:asciiTheme="majorHAnsi" w:hAnsiTheme="majorHAnsi" w:cstheme="majorHAnsi"/>
                <w:sz w:val="20"/>
                <w:szCs w:val="20"/>
                <w:shd w:val="clear" w:color="auto" w:fill="FFFFFF"/>
              </w:rPr>
              <w:t>CEP: 52051-380</w:t>
            </w:r>
          </w:p>
        </w:tc>
      </w:tr>
      <w:tr w14:paraId="70DAD903">
        <w:tblPrEx>
          <w:tblCellMar>
            <w:top w:w="0" w:type="dxa"/>
            <w:left w:w="70" w:type="dxa"/>
            <w:bottom w:w="0" w:type="dxa"/>
            <w:right w:w="70" w:type="dxa"/>
          </w:tblCellMar>
        </w:tblPrEx>
        <w:trPr>
          <w:trHeight w:val="300" w:hRule="atLeast"/>
          <w:jc w:val="center"/>
        </w:trPr>
        <w:tc>
          <w:tcPr>
            <w:tcW w:w="4289" w:type="dxa"/>
            <w:tcBorders>
              <w:top w:val="single" w:color="000000" w:sz="4" w:space="0"/>
              <w:left w:val="single" w:color="000000" w:sz="4" w:space="0"/>
              <w:bottom w:val="single" w:color="000000" w:sz="4" w:space="0"/>
              <w:right w:val="single" w:color="000000" w:sz="4" w:space="0"/>
            </w:tcBorders>
          </w:tcPr>
          <w:p w14:paraId="2CAA784E">
            <w:pPr>
              <w:widowControl w:val="0"/>
              <w:spacing w:after="0" w:line="240" w:lineRule="auto"/>
              <w:jc w:val="center"/>
              <w:rPr>
                <w:rFonts w:asciiTheme="majorHAnsi" w:hAnsiTheme="majorHAnsi" w:cstheme="majorHAnsi"/>
                <w:sz w:val="20"/>
                <w:szCs w:val="20"/>
                <w:lang w:eastAsia="zh-CN"/>
              </w:rPr>
            </w:pPr>
            <w:r>
              <w:rPr>
                <w:rFonts w:asciiTheme="majorHAnsi" w:hAnsiTheme="majorHAnsi" w:cstheme="majorHAnsi"/>
                <w:sz w:val="20"/>
                <w:szCs w:val="20"/>
                <w:lang w:eastAsia="zh-CN"/>
              </w:rPr>
              <w:t>Hospital Otávio de Freitas - HOF</w:t>
            </w:r>
          </w:p>
        </w:tc>
        <w:tc>
          <w:tcPr>
            <w:tcW w:w="5163" w:type="dxa"/>
            <w:tcBorders>
              <w:top w:val="single" w:color="000000" w:sz="4" w:space="0"/>
              <w:left w:val="single" w:color="000000" w:sz="4" w:space="0"/>
              <w:bottom w:val="single" w:color="000000" w:sz="4" w:space="0"/>
              <w:right w:val="single" w:color="000000" w:sz="4" w:space="0"/>
            </w:tcBorders>
          </w:tcPr>
          <w:p w14:paraId="6CE08649">
            <w:pPr>
              <w:widowControl w:val="0"/>
              <w:spacing w:after="0" w:line="240" w:lineRule="auto"/>
              <w:jc w:val="center"/>
              <w:rPr>
                <w:rFonts w:asciiTheme="majorHAnsi" w:hAnsiTheme="majorHAnsi" w:cstheme="majorHAnsi"/>
                <w:sz w:val="20"/>
                <w:szCs w:val="20"/>
                <w:lang w:eastAsia="zh-CN"/>
              </w:rPr>
            </w:pPr>
            <w:r>
              <w:rPr>
                <w:rFonts w:asciiTheme="majorHAnsi" w:hAnsiTheme="majorHAnsi" w:cstheme="majorHAnsi"/>
                <w:sz w:val="20"/>
                <w:szCs w:val="20"/>
                <w:shd w:val="clear" w:color="auto" w:fill="FFFFFF"/>
              </w:rPr>
              <w:t>Rua Aprígio Guimarães, s/n, no bairro de Tejipió, Recife/PE, CEP 50.920-640</w:t>
            </w:r>
          </w:p>
        </w:tc>
      </w:tr>
      <w:tr w14:paraId="6FF9095F">
        <w:tblPrEx>
          <w:tblCellMar>
            <w:top w:w="0" w:type="dxa"/>
            <w:left w:w="70" w:type="dxa"/>
            <w:bottom w:w="0" w:type="dxa"/>
            <w:right w:w="70" w:type="dxa"/>
          </w:tblCellMar>
        </w:tblPrEx>
        <w:trPr>
          <w:trHeight w:val="300" w:hRule="atLeast"/>
          <w:jc w:val="center"/>
        </w:trPr>
        <w:tc>
          <w:tcPr>
            <w:tcW w:w="4289" w:type="dxa"/>
            <w:tcBorders>
              <w:top w:val="single" w:color="000000" w:sz="4" w:space="0"/>
              <w:left w:val="single" w:color="000000" w:sz="4" w:space="0"/>
              <w:bottom w:val="single" w:color="000000" w:sz="4" w:space="0"/>
              <w:right w:val="single" w:color="000000" w:sz="4" w:space="0"/>
            </w:tcBorders>
          </w:tcPr>
          <w:p w14:paraId="6CA05A35">
            <w:pPr>
              <w:widowControl w:val="0"/>
              <w:spacing w:after="0" w:line="240" w:lineRule="auto"/>
              <w:jc w:val="center"/>
              <w:rPr>
                <w:rFonts w:asciiTheme="majorHAnsi" w:hAnsiTheme="majorHAnsi" w:cstheme="majorHAnsi"/>
                <w:sz w:val="20"/>
                <w:szCs w:val="20"/>
                <w:lang w:eastAsia="zh-CN"/>
              </w:rPr>
            </w:pPr>
            <w:r>
              <w:rPr>
                <w:rFonts w:asciiTheme="majorHAnsi" w:hAnsiTheme="majorHAnsi" w:cstheme="majorHAnsi"/>
                <w:sz w:val="20"/>
                <w:szCs w:val="20"/>
                <w:lang w:eastAsia="zh-CN"/>
              </w:rPr>
              <w:t>Pronto Socorro Cardiológico Universitário de Pernambuco - PROCAPE</w:t>
            </w:r>
          </w:p>
        </w:tc>
        <w:tc>
          <w:tcPr>
            <w:tcW w:w="5163" w:type="dxa"/>
            <w:tcBorders>
              <w:top w:val="single" w:color="000000" w:sz="4" w:space="0"/>
              <w:left w:val="single" w:color="000000" w:sz="4" w:space="0"/>
              <w:bottom w:val="single" w:color="000000" w:sz="4" w:space="0"/>
              <w:right w:val="single" w:color="000000" w:sz="4" w:space="0"/>
            </w:tcBorders>
          </w:tcPr>
          <w:p w14:paraId="4F40E5B9">
            <w:pPr>
              <w:widowControl w:val="0"/>
              <w:spacing w:after="0" w:line="240" w:lineRule="auto"/>
              <w:jc w:val="center"/>
              <w:rPr>
                <w:rFonts w:asciiTheme="majorHAnsi" w:hAnsiTheme="majorHAnsi" w:cstheme="majorHAnsi"/>
                <w:sz w:val="20"/>
                <w:szCs w:val="20"/>
                <w:lang w:eastAsia="zh-CN"/>
              </w:rPr>
            </w:pPr>
            <w:r>
              <w:rPr>
                <w:rFonts w:asciiTheme="majorHAnsi" w:hAnsiTheme="majorHAnsi" w:cstheme="majorHAnsi"/>
                <w:color w:val="001D35"/>
                <w:sz w:val="20"/>
                <w:szCs w:val="20"/>
                <w:shd w:val="clear" w:color="auto" w:fill="FFFFFF"/>
              </w:rPr>
              <w:t>Rua dos Palmares, S/N, no bairro de Santo Amaro, Recife - PE, CEP: 50.100-060</w:t>
            </w:r>
          </w:p>
        </w:tc>
      </w:tr>
    </w:tbl>
    <w:p w14:paraId="59E446A9">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jc w:val="both"/>
        <w:rPr>
          <w:rFonts w:eastAsia="Times New Roman" w:asciiTheme="majorHAnsi" w:hAnsiTheme="majorHAnsi" w:cstheme="majorHAnsi"/>
          <w:b/>
          <w:color w:val="000000"/>
          <w:sz w:val="20"/>
          <w:szCs w:val="20"/>
        </w:rPr>
      </w:pPr>
    </w:p>
    <w:p w14:paraId="00FBA1E9">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3.2.5.</w:t>
      </w:r>
      <w:r>
        <w:rPr>
          <w:rFonts w:eastAsia="Times New Roman" w:asciiTheme="majorHAnsi" w:hAnsiTheme="majorHAnsi" w:cstheme="majorHAnsi"/>
          <w:color w:val="000000"/>
          <w:sz w:val="20"/>
          <w:szCs w:val="20"/>
        </w:rPr>
        <w:t xml:space="preserve"> Para a entrega do objeto, é imprescindível anexar DANFE a Nota Fiscal Eletrônica e a cópia da nota de empenho;</w:t>
      </w:r>
    </w:p>
    <w:p w14:paraId="6F18BB95">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3.2.6.</w:t>
      </w:r>
      <w:r>
        <w:rPr>
          <w:rFonts w:eastAsia="Times New Roman" w:asciiTheme="majorHAnsi" w:hAnsiTheme="majorHAnsi" w:cstheme="majorHAnsi"/>
          <w:color w:val="000000"/>
          <w:sz w:val="20"/>
          <w:szCs w:val="20"/>
        </w:rPr>
        <w:t xml:space="preserve"> A dedução do ICMS, quando aplicável, deve ficar explícita na Nota Fiscal, que deve conter a alíquota incidente e a dedução do que seria devido, caso não houvesse o benefício, observando os Convênios CONFAZ nº 87/2002, 54/2009 ou outras normas que impliquem desoneração tributária;</w:t>
      </w:r>
    </w:p>
    <w:p w14:paraId="0AFC15A3">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3.2.7.</w:t>
      </w:r>
      <w:r>
        <w:rPr>
          <w:rFonts w:eastAsia="Times New Roman" w:asciiTheme="majorHAnsi" w:hAnsiTheme="majorHAnsi" w:cstheme="majorHAnsi"/>
          <w:color w:val="000000"/>
          <w:sz w:val="20"/>
          <w:szCs w:val="20"/>
        </w:rPr>
        <w:t xml:space="preserve"> Para ser aceita pela Administração, a nota fiscal deve conter o número do lote do(s) medicamento(s) e o prazo de validade do produto. </w:t>
      </w:r>
    </w:p>
    <w:p w14:paraId="0F36B414">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3.2.8.</w:t>
      </w:r>
      <w:r>
        <w:rPr>
          <w:rFonts w:eastAsia="Times New Roman" w:asciiTheme="majorHAnsi" w:hAnsiTheme="majorHAnsi" w:cstheme="majorHAnsi"/>
          <w:color w:val="000000"/>
          <w:sz w:val="20"/>
          <w:szCs w:val="20"/>
        </w:rPr>
        <w:t xml:space="preserve"> O objeto será recebido: </w:t>
      </w:r>
    </w:p>
    <w:p w14:paraId="15AAD463">
      <w:pPr>
        <w:pBdr>
          <w:top w:val="none" w:color="auto" w:sz="0" w:space="0"/>
          <w:left w:val="none" w:color="auto" w:sz="0" w:space="0"/>
          <w:bottom w:val="none" w:color="auto" w:sz="0" w:space="0"/>
          <w:right w:val="none" w:color="auto" w:sz="0" w:space="0"/>
          <w:between w:val="none" w:color="auto" w:sz="0" w:space="0"/>
        </w:pBdr>
        <w:tabs>
          <w:tab w:val="left" w:pos="142"/>
        </w:tabs>
        <w:spacing w:before="120" w:after="0"/>
        <w:ind w:left="720"/>
        <w:rPr>
          <w:rFonts w:eastAsia="Times New Roman" w:asciiTheme="majorHAnsi" w:hAnsiTheme="majorHAnsi" w:cstheme="majorHAnsi"/>
          <w:color w:val="000000"/>
          <w:sz w:val="20"/>
          <w:szCs w:val="20"/>
        </w:rPr>
      </w:pPr>
    </w:p>
    <w:p w14:paraId="4818E2B3">
      <w:pPr>
        <w:numPr>
          <w:ilvl w:val="0"/>
          <w:numId w:val="11"/>
        </w:numPr>
        <w:pBdr>
          <w:top w:val="none" w:color="auto" w:sz="0" w:space="0"/>
          <w:left w:val="none" w:color="auto" w:sz="0" w:space="0"/>
          <w:bottom w:val="none" w:color="auto" w:sz="0" w:space="0"/>
          <w:right w:val="none" w:color="auto" w:sz="0" w:space="0"/>
          <w:between w:val="none" w:color="auto" w:sz="0" w:space="0"/>
        </w:pBdr>
        <w:spacing w:after="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u w:val="single"/>
        </w:rPr>
        <w:t>Provisoriamente</w:t>
      </w:r>
      <w:r>
        <w:rPr>
          <w:rFonts w:eastAsia="Times New Roman" w:asciiTheme="majorHAnsi" w:hAnsiTheme="majorHAnsi" w:cstheme="majorHAnsi"/>
          <w:color w:val="000000"/>
          <w:sz w:val="20"/>
          <w:szCs w:val="20"/>
        </w:rPr>
        <w:t>, de forma sumária, mediante recibo, para efeito de posterior verificação da conformidade dos bens recebidos com as especificações exigidas;</w:t>
      </w:r>
    </w:p>
    <w:p w14:paraId="51748AB8">
      <w:pPr>
        <w:pBdr>
          <w:top w:val="none" w:color="auto" w:sz="0" w:space="0"/>
          <w:left w:val="none" w:color="auto" w:sz="0" w:space="0"/>
          <w:bottom w:val="none" w:color="auto" w:sz="0" w:space="0"/>
          <w:right w:val="none" w:color="auto" w:sz="0" w:space="0"/>
          <w:between w:val="none" w:color="auto" w:sz="0" w:space="0"/>
        </w:pBdr>
        <w:tabs>
          <w:tab w:val="left" w:pos="142"/>
        </w:tabs>
        <w:spacing w:after="0"/>
        <w:ind w:left="720"/>
        <w:jc w:val="both"/>
        <w:rPr>
          <w:rFonts w:eastAsia="Times New Roman" w:asciiTheme="majorHAnsi" w:hAnsiTheme="majorHAnsi" w:cstheme="majorHAnsi"/>
          <w:color w:val="000000"/>
          <w:sz w:val="20"/>
          <w:szCs w:val="20"/>
        </w:rPr>
      </w:pPr>
    </w:p>
    <w:p w14:paraId="196338CE">
      <w:pPr>
        <w:numPr>
          <w:ilvl w:val="0"/>
          <w:numId w:val="12"/>
        </w:numPr>
        <w:pBdr>
          <w:top w:val="none" w:color="auto" w:sz="0" w:space="0"/>
          <w:left w:val="none" w:color="auto" w:sz="0" w:space="0"/>
          <w:bottom w:val="none" w:color="auto" w:sz="0" w:space="0"/>
          <w:right w:val="none" w:color="auto" w:sz="0" w:space="0"/>
          <w:between w:val="none" w:color="auto" w:sz="0" w:space="0"/>
        </w:pBdr>
        <w:spacing w:after="0"/>
        <w:jc w:val="both"/>
        <w:rPr>
          <w:rFonts w:eastAsia="Times New Roman" w:asciiTheme="majorHAnsi" w:hAnsiTheme="majorHAnsi" w:cstheme="majorHAnsi"/>
          <w:color w:val="000000"/>
          <w:sz w:val="20"/>
          <w:szCs w:val="20"/>
        </w:rPr>
      </w:pPr>
      <w:bookmarkStart w:id="4" w:name="_heading=h.8rolj17wkz66" w:colFirst="0" w:colLast="0"/>
      <w:bookmarkEnd w:id="4"/>
      <w:r>
        <w:rPr>
          <w:rFonts w:eastAsia="Times New Roman" w:asciiTheme="majorHAnsi" w:hAnsiTheme="majorHAnsi" w:cstheme="majorHAnsi"/>
          <w:color w:val="000000"/>
          <w:sz w:val="20"/>
          <w:szCs w:val="20"/>
          <w:u w:val="single"/>
        </w:rPr>
        <w:t>Definitivamente,</w:t>
      </w:r>
      <w:r>
        <w:rPr>
          <w:rFonts w:eastAsia="Times New Roman" w:asciiTheme="majorHAnsi" w:hAnsiTheme="majorHAnsi" w:cstheme="majorHAnsi"/>
          <w:color w:val="000000"/>
          <w:sz w:val="20"/>
          <w:szCs w:val="20"/>
        </w:rPr>
        <w:t xml:space="preserve"> pós a verificação da compatibilidade dos bens com as especificações técnicas, a conformidade dos documentos de registro na ANVISA, e dos laudos de controles de qualidade, no prazo de 5 (cinco) dias úteis, a contar do recebimento da nota fiscal ou do instrumento de cobrança equivalente.</w:t>
      </w:r>
    </w:p>
    <w:p w14:paraId="0AA8BBA4">
      <w:pPr>
        <w:pBdr>
          <w:top w:val="none" w:color="auto" w:sz="0" w:space="0"/>
          <w:left w:val="none" w:color="auto" w:sz="0" w:space="0"/>
          <w:bottom w:val="none" w:color="auto" w:sz="0" w:space="0"/>
          <w:right w:val="none" w:color="auto" w:sz="0" w:space="0"/>
          <w:between w:val="none" w:color="auto" w:sz="0" w:space="0"/>
        </w:pBdr>
        <w:tabs>
          <w:tab w:val="left" w:pos="142"/>
        </w:tabs>
        <w:spacing w:after="0"/>
        <w:ind w:left="720"/>
        <w:jc w:val="both"/>
        <w:rPr>
          <w:rFonts w:eastAsia="Times New Roman" w:asciiTheme="majorHAnsi" w:hAnsiTheme="majorHAnsi" w:cstheme="majorHAnsi"/>
          <w:color w:val="000000"/>
          <w:sz w:val="20"/>
          <w:szCs w:val="20"/>
        </w:rPr>
      </w:pPr>
    </w:p>
    <w:p w14:paraId="5709E848">
      <w:pPr>
        <w:pBdr>
          <w:top w:val="none" w:color="auto" w:sz="0" w:space="0"/>
          <w:left w:val="none" w:color="auto" w:sz="0" w:space="0"/>
          <w:bottom w:val="none" w:color="auto" w:sz="0" w:space="0"/>
          <w:right w:val="none" w:color="auto" w:sz="0" w:space="0"/>
          <w:between w:val="none" w:color="auto" w:sz="0" w:space="0"/>
        </w:pBdr>
        <w:spacing w:after="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3.2.9.</w:t>
      </w:r>
      <w:r>
        <w:rPr>
          <w:rFonts w:eastAsia="Times New Roman" w:asciiTheme="majorHAnsi" w:hAnsiTheme="majorHAnsi" w:cstheme="majorHAnsi"/>
          <w:color w:val="000000"/>
          <w:sz w:val="20"/>
          <w:szCs w:val="20"/>
        </w:rPr>
        <w:t xml:space="preserve"> O prazo para recebimento definitivo poderá ser excepcionalmente prorrogado, de forma justificada, por igual período, quando houver necessidade de diligências para a aferição do atendimento das exigências presentes nesse Termo de Referência.</w:t>
      </w:r>
    </w:p>
    <w:p w14:paraId="22941662">
      <w:pPr>
        <w:pBdr>
          <w:top w:val="none" w:color="auto" w:sz="0" w:space="0"/>
          <w:left w:val="none" w:color="auto" w:sz="0" w:space="0"/>
          <w:bottom w:val="none" w:color="auto" w:sz="0" w:space="0"/>
          <w:right w:val="none" w:color="auto" w:sz="0" w:space="0"/>
          <w:between w:val="none" w:color="auto" w:sz="0" w:space="0"/>
        </w:pBdr>
        <w:tabs>
          <w:tab w:val="left" w:pos="142"/>
          <w:tab w:val="left" w:pos="567"/>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3.2.10.</w:t>
      </w:r>
      <w:r>
        <w:rPr>
          <w:rFonts w:eastAsia="Times New Roman" w:asciiTheme="majorHAnsi" w:hAnsiTheme="majorHAnsi" w:cstheme="majorHAnsi"/>
          <w:color w:val="000000"/>
          <w:sz w:val="20"/>
          <w:szCs w:val="20"/>
        </w:rPr>
        <w:t xml:space="preserve"> Na entrega dos produtos deverão ser cumpridos pela contratada e verificados pela administração:</w:t>
      </w:r>
    </w:p>
    <w:p w14:paraId="32E751BF">
      <w:pPr>
        <w:pBdr>
          <w:top w:val="none" w:color="auto" w:sz="0" w:space="0"/>
          <w:left w:val="none" w:color="auto" w:sz="0" w:space="0"/>
          <w:bottom w:val="none" w:color="auto" w:sz="0" w:space="0"/>
          <w:right w:val="none" w:color="auto" w:sz="0" w:space="0"/>
          <w:between w:val="none" w:color="auto" w:sz="0" w:space="0"/>
        </w:pBdr>
        <w:tabs>
          <w:tab w:val="left" w:pos="142"/>
          <w:tab w:val="left" w:pos="567"/>
        </w:tabs>
        <w:spacing w:after="0" w:line="240" w:lineRule="auto"/>
        <w:jc w:val="both"/>
        <w:rPr>
          <w:rFonts w:eastAsia="Times New Roman" w:asciiTheme="majorHAnsi" w:hAnsiTheme="majorHAnsi" w:cstheme="majorHAnsi"/>
          <w:color w:val="000000"/>
          <w:sz w:val="20"/>
          <w:szCs w:val="20"/>
        </w:rPr>
      </w:pPr>
    </w:p>
    <w:p w14:paraId="14A77366">
      <w:pPr>
        <w:numPr>
          <w:ilvl w:val="2"/>
          <w:numId w:val="13"/>
        </w:numPr>
        <w:pBdr>
          <w:top w:val="none" w:color="auto" w:sz="0" w:space="0"/>
          <w:left w:val="none" w:color="auto" w:sz="0" w:space="0"/>
          <w:bottom w:val="none" w:color="auto" w:sz="0" w:space="0"/>
          <w:right w:val="none" w:color="auto" w:sz="0" w:space="0"/>
          <w:between w:val="none" w:color="auto" w:sz="0" w:space="0"/>
        </w:pBdr>
        <w:tabs>
          <w:tab w:val="left" w:pos="142"/>
          <w:tab w:val="left" w:pos="1134"/>
        </w:tabs>
        <w:spacing w:after="0" w:line="240" w:lineRule="auto"/>
        <w:ind w:left="709"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conformidade das especificações técnicas com o que foi solicitado, tais como forma farmacêutica, concentração e condições de conservação, bem como com os demais itens do detalhamento do objeto, constantes do item 3.1.1 deste Termo de Referência;</w:t>
      </w:r>
    </w:p>
    <w:p w14:paraId="4DD1E57E">
      <w:pPr>
        <w:numPr>
          <w:ilvl w:val="2"/>
          <w:numId w:val="13"/>
        </w:numPr>
        <w:pBdr>
          <w:top w:val="none" w:color="auto" w:sz="0" w:space="0"/>
          <w:left w:val="none" w:color="auto" w:sz="0" w:space="0"/>
          <w:bottom w:val="none" w:color="auto" w:sz="0" w:space="0"/>
          <w:right w:val="none" w:color="auto" w:sz="0" w:space="0"/>
          <w:between w:val="none" w:color="auto" w:sz="0" w:space="0"/>
        </w:pBdr>
        <w:tabs>
          <w:tab w:val="left" w:pos="142"/>
          <w:tab w:val="left" w:pos="1134"/>
        </w:tabs>
        <w:spacing w:after="0" w:line="240" w:lineRule="auto"/>
        <w:ind w:left="709"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 produto deve ser entregue na embalagem original, em perfeito estado, sem sinais de violação, sem aderência ao produto, umidade, sem inadequação do conteúdo, identificados, nas condições de temperatura exigida em rótulo, e com o número do registro emitido pela ANVISA;</w:t>
      </w:r>
    </w:p>
    <w:p w14:paraId="5A477889">
      <w:pPr>
        <w:numPr>
          <w:ilvl w:val="2"/>
          <w:numId w:val="13"/>
        </w:numPr>
        <w:pBdr>
          <w:top w:val="none" w:color="auto" w:sz="0" w:space="0"/>
          <w:left w:val="none" w:color="auto" w:sz="0" w:space="0"/>
          <w:bottom w:val="none" w:color="auto" w:sz="0" w:space="0"/>
          <w:right w:val="none" w:color="auto" w:sz="0" w:space="0"/>
          <w:between w:val="none" w:color="auto" w:sz="0" w:space="0"/>
        </w:pBdr>
        <w:tabs>
          <w:tab w:val="left" w:pos="142"/>
          <w:tab w:val="left" w:pos="1134"/>
        </w:tabs>
        <w:spacing w:after="0" w:line="240" w:lineRule="auto"/>
        <w:ind w:left="709"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Os produtos entregues deverão apresentar, no rótulo, o número de registro ou notificação simplificada, conforme o caso, em consonância com a numeração contida na documentação de registro ou notificação simplificada;</w:t>
      </w:r>
    </w:p>
    <w:p w14:paraId="626BA9E8">
      <w:pPr>
        <w:numPr>
          <w:ilvl w:val="2"/>
          <w:numId w:val="13"/>
        </w:numPr>
        <w:pBdr>
          <w:top w:val="none" w:color="auto" w:sz="0" w:space="0"/>
          <w:left w:val="none" w:color="auto" w:sz="0" w:space="0"/>
          <w:bottom w:val="none" w:color="auto" w:sz="0" w:space="0"/>
          <w:right w:val="none" w:color="auto" w:sz="0" w:space="0"/>
          <w:between w:val="none" w:color="auto" w:sz="0" w:space="0"/>
        </w:pBdr>
        <w:tabs>
          <w:tab w:val="left" w:pos="142"/>
          <w:tab w:val="left" w:pos="1134"/>
        </w:tabs>
        <w:spacing w:after="0" w:line="240" w:lineRule="auto"/>
        <w:ind w:left="709"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Cada lote do medicamento deverá estar acompanhado de laudo analítico-laboratorial expedido pela empresa produtora/titular do registro na Anvisa e/ou laboratório integrante da Rede Brasileira de Laboratórios Analíticos em Saúde (Reblas); </w:t>
      </w:r>
    </w:p>
    <w:p w14:paraId="37D2AF5F">
      <w:pPr>
        <w:pBdr>
          <w:top w:val="none" w:color="auto" w:sz="0" w:space="0"/>
          <w:left w:val="none" w:color="auto" w:sz="0" w:space="0"/>
          <w:bottom w:val="none" w:color="auto" w:sz="0" w:space="0"/>
          <w:right w:val="none" w:color="auto" w:sz="0" w:space="0"/>
          <w:between w:val="none" w:color="auto" w:sz="0" w:space="0"/>
        </w:pBdr>
        <w:tabs>
          <w:tab w:val="left" w:pos="142"/>
          <w:tab w:val="left" w:pos="1134"/>
        </w:tabs>
        <w:spacing w:after="0" w:line="240" w:lineRule="auto"/>
        <w:ind w:left="709"/>
        <w:jc w:val="both"/>
        <w:rPr>
          <w:rFonts w:eastAsia="Times New Roman" w:asciiTheme="majorHAnsi" w:hAnsiTheme="majorHAnsi" w:cstheme="majorHAnsi"/>
          <w:color w:val="000000"/>
          <w:sz w:val="20"/>
          <w:szCs w:val="20"/>
        </w:rPr>
      </w:pPr>
    </w:p>
    <w:p w14:paraId="23B9F5D6">
      <w:pPr>
        <w:pBdr>
          <w:top w:val="none" w:color="auto" w:sz="0" w:space="0"/>
          <w:left w:val="none" w:color="auto" w:sz="0" w:space="0"/>
          <w:bottom w:val="none" w:color="auto" w:sz="0" w:space="0"/>
          <w:right w:val="none" w:color="auto" w:sz="0" w:space="0"/>
          <w:between w:val="none" w:color="auto" w:sz="0" w:space="0"/>
        </w:pBdr>
        <w:tabs>
          <w:tab w:val="left" w:pos="142"/>
          <w:tab w:val="left" w:pos="709"/>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3.2.11.</w:t>
      </w:r>
      <w:r>
        <w:rPr>
          <w:rFonts w:eastAsia="Times New Roman" w:asciiTheme="majorHAnsi" w:hAnsiTheme="majorHAnsi" w:cstheme="majorHAnsi"/>
          <w:color w:val="000000"/>
          <w:sz w:val="20"/>
          <w:szCs w:val="20"/>
        </w:rPr>
        <w:t xml:space="preserve"> Os produtos devem ser entregues por lote e data de validade, com seus respectivos quantitativos na Nota Fiscal;</w:t>
      </w:r>
    </w:p>
    <w:p w14:paraId="653AA0DF">
      <w:p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709"/>
        </w:tabs>
        <w:spacing w:after="0" w:line="240" w:lineRule="auto"/>
        <w:ind w:left="720"/>
        <w:jc w:val="both"/>
        <w:rPr>
          <w:rFonts w:eastAsia="Times New Roman" w:asciiTheme="majorHAnsi" w:hAnsiTheme="majorHAnsi" w:cstheme="majorHAnsi"/>
          <w:color w:val="000000"/>
          <w:sz w:val="20"/>
          <w:szCs w:val="20"/>
        </w:rPr>
      </w:pPr>
    </w:p>
    <w:p w14:paraId="1E70F79F">
      <w:pPr>
        <w:pBdr>
          <w:top w:val="none" w:color="auto" w:sz="0" w:space="0"/>
          <w:left w:val="none" w:color="auto" w:sz="0" w:space="0"/>
          <w:bottom w:val="none" w:color="auto" w:sz="0" w:space="0"/>
          <w:right w:val="none" w:color="auto" w:sz="0" w:space="0"/>
          <w:between w:val="none" w:color="auto" w:sz="0" w:space="0"/>
        </w:pBdr>
        <w:tabs>
          <w:tab w:val="left" w:pos="142"/>
          <w:tab w:val="left" w:pos="1418"/>
        </w:tabs>
        <w:spacing w:after="0" w:line="240" w:lineRule="auto"/>
        <w:ind w:left="709"/>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3.2.11.1.</w:t>
      </w:r>
      <w:r>
        <w:rPr>
          <w:rFonts w:eastAsia="Times New Roman" w:asciiTheme="majorHAnsi" w:hAnsiTheme="majorHAnsi" w:cstheme="majorHAnsi"/>
          <w:color w:val="000000"/>
          <w:sz w:val="20"/>
          <w:szCs w:val="20"/>
        </w:rPr>
        <w:t xml:space="preserve"> Os prazos de validade dos medicamentos devem ser, no mínimo, de 12 (doze) meses a partir da data da entrega, ou, na impossibilidade técnica, devido à natureza do produto, o prazo deverá ser equivalente a, no mínimo, 75% (setenta e cinco por cento) de sua validade, contados da data de fabricação; </w:t>
      </w:r>
    </w:p>
    <w:p w14:paraId="3437D0DC">
      <w:p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1418"/>
        </w:tabs>
        <w:spacing w:after="0" w:line="240" w:lineRule="auto"/>
        <w:ind w:left="567"/>
        <w:jc w:val="both"/>
        <w:rPr>
          <w:rFonts w:eastAsia="Times New Roman" w:asciiTheme="majorHAnsi" w:hAnsiTheme="majorHAnsi" w:cstheme="majorHAnsi"/>
          <w:color w:val="000000"/>
          <w:sz w:val="20"/>
          <w:szCs w:val="20"/>
        </w:rPr>
      </w:pPr>
    </w:p>
    <w:p w14:paraId="271A5D36">
      <w:pPr>
        <w:numPr>
          <w:ilvl w:val="0"/>
          <w:numId w:val="14"/>
        </w:num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993"/>
        </w:tabs>
        <w:spacing w:after="0" w:line="240" w:lineRule="auto"/>
        <w:ind w:left="709"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impossibilidade técnica citada no item “a” deverá ser justificada pela contratada e aceita pela administração.</w:t>
      </w:r>
    </w:p>
    <w:p w14:paraId="448FD28A">
      <w:p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709"/>
        </w:tabs>
        <w:spacing w:after="0" w:line="240" w:lineRule="auto"/>
        <w:ind w:left="720"/>
        <w:jc w:val="both"/>
        <w:rPr>
          <w:rFonts w:eastAsia="Times New Roman" w:asciiTheme="majorHAnsi" w:hAnsiTheme="majorHAnsi" w:cstheme="majorHAnsi"/>
          <w:color w:val="000000"/>
          <w:sz w:val="20"/>
          <w:szCs w:val="20"/>
        </w:rPr>
      </w:pPr>
    </w:p>
    <w:p w14:paraId="53086444">
      <w:pPr>
        <w:pBdr>
          <w:top w:val="none" w:color="auto" w:sz="0" w:space="0"/>
          <w:left w:val="none" w:color="auto" w:sz="0" w:space="0"/>
          <w:bottom w:val="none" w:color="auto" w:sz="0" w:space="0"/>
          <w:right w:val="none" w:color="auto" w:sz="0" w:space="0"/>
          <w:between w:val="none" w:color="auto" w:sz="0" w:space="0"/>
        </w:pBdr>
        <w:tabs>
          <w:tab w:val="left" w:pos="709"/>
          <w:tab w:val="left" w:pos="993"/>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3.2.12.</w:t>
      </w:r>
      <w:r>
        <w:rPr>
          <w:rFonts w:eastAsia="Times New Roman" w:asciiTheme="majorHAnsi" w:hAnsiTheme="majorHAnsi" w:cstheme="majorHAnsi"/>
          <w:color w:val="000000"/>
          <w:sz w:val="20"/>
          <w:szCs w:val="20"/>
        </w:rPr>
        <w:t xml:space="preserve"> Na hipótese de a verificação a que se refere o subitem anterior não ser procedida dentro do prazo fixado, reputar-se-á como realizada, consumando-se o recebimento definitivo no dia do esgotamento do prazo;</w:t>
      </w:r>
    </w:p>
    <w:p w14:paraId="79E42BFB">
      <w:pPr>
        <w:pBdr>
          <w:top w:val="none" w:color="auto" w:sz="0" w:space="0"/>
          <w:left w:val="none" w:color="auto" w:sz="0" w:space="0"/>
          <w:bottom w:val="none" w:color="auto" w:sz="0" w:space="0"/>
          <w:right w:val="none" w:color="auto" w:sz="0" w:space="0"/>
          <w:between w:val="none" w:color="auto" w:sz="0" w:space="0"/>
        </w:pBdr>
        <w:tabs>
          <w:tab w:val="left" w:pos="709"/>
          <w:tab w:val="left" w:pos="993"/>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3.2.13.</w:t>
      </w:r>
      <w:r>
        <w:rPr>
          <w:rFonts w:eastAsia="Times New Roman" w:asciiTheme="majorHAnsi" w:hAnsiTheme="majorHAnsi" w:cstheme="majorHAnsi"/>
          <w:color w:val="000000"/>
          <w:sz w:val="20"/>
          <w:szCs w:val="20"/>
        </w:rPr>
        <w:t xml:space="preserve"> O objeto poderá ser rejeitado, no todo ou em parte, quando estiver em desacordo com os termos e condições desta contratação. A contratada deve substituir às suas expensas, no todo ou em parte, conforme o caso, no prazo de até 5 (cinco) dia(s) úteis, contados da notificação feita pelo fiscal, os medicamentos que apresentarem qualquer irregularidade;</w:t>
      </w:r>
    </w:p>
    <w:p w14:paraId="0DE427C0">
      <w:pPr>
        <w:pBdr>
          <w:top w:val="none" w:color="auto" w:sz="0" w:space="0"/>
          <w:left w:val="none" w:color="auto" w:sz="0" w:space="0"/>
          <w:bottom w:val="none" w:color="auto" w:sz="0" w:space="0"/>
          <w:right w:val="none" w:color="auto" w:sz="0" w:space="0"/>
          <w:between w:val="none" w:color="auto" w:sz="0" w:space="0"/>
        </w:pBdr>
        <w:tabs>
          <w:tab w:val="left" w:pos="709"/>
          <w:tab w:val="left" w:pos="993"/>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3.2.14.</w:t>
      </w:r>
      <w:r>
        <w:rPr>
          <w:rFonts w:eastAsia="Times New Roman" w:asciiTheme="majorHAnsi" w:hAnsiTheme="majorHAnsi" w:cstheme="majorHAnsi"/>
          <w:color w:val="000000"/>
          <w:sz w:val="20"/>
          <w:szCs w:val="20"/>
        </w:rPr>
        <w:t xml:space="preserve"> A contratada deve comunicar à contratante, no prazo máximo de 5 (cinco) dia(s) úteis que antecede a data da entrega, os motivos que impossibilitem o cumprimento do prazo previsto, com a devida comprovação;</w:t>
      </w:r>
    </w:p>
    <w:p w14:paraId="71DD0D0B">
      <w:pPr>
        <w:pBdr>
          <w:top w:val="none" w:color="auto" w:sz="0" w:space="0"/>
          <w:left w:val="none" w:color="auto" w:sz="0" w:space="0"/>
          <w:bottom w:val="none" w:color="auto" w:sz="0" w:space="0"/>
          <w:right w:val="none" w:color="auto" w:sz="0" w:space="0"/>
          <w:between w:val="none" w:color="auto" w:sz="0" w:space="0"/>
        </w:pBdr>
        <w:tabs>
          <w:tab w:val="left" w:pos="709"/>
          <w:tab w:val="left" w:pos="993"/>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3.2.15.</w:t>
      </w:r>
      <w:r>
        <w:rPr>
          <w:rFonts w:eastAsia="Times New Roman" w:asciiTheme="majorHAnsi" w:hAnsiTheme="majorHAnsi" w:cstheme="majorHAnsi"/>
          <w:color w:val="000000"/>
          <w:sz w:val="20"/>
          <w:szCs w:val="20"/>
        </w:rPr>
        <w:t xml:space="preserve"> É de responsabilidade das indústrias Farmacêuticas e das empresas de distribuição, a substituição dos medicamentos e produtos cujos prazos de validade expirem em poder das farmácias, drogarias e postos de medicamentos no Estado de Pernambuco, nos termos da Lei Estadual nº 13.065, de 05 de julho de 2006;</w:t>
      </w:r>
    </w:p>
    <w:p w14:paraId="279079CE">
      <w:pPr>
        <w:pBdr>
          <w:top w:val="none" w:color="auto" w:sz="0" w:space="0"/>
          <w:left w:val="none" w:color="auto" w:sz="0" w:space="0"/>
          <w:bottom w:val="none" w:color="auto" w:sz="0" w:space="0"/>
          <w:right w:val="none" w:color="auto" w:sz="0" w:space="0"/>
          <w:between w:val="none" w:color="auto" w:sz="0" w:space="0"/>
        </w:pBdr>
        <w:tabs>
          <w:tab w:val="left" w:pos="709"/>
          <w:tab w:val="left" w:pos="993"/>
        </w:tabs>
        <w:spacing w:after="0" w:line="240" w:lineRule="auto"/>
        <w:jc w:val="both"/>
        <w:rPr>
          <w:rFonts w:eastAsia="Times New Roman" w:asciiTheme="majorHAnsi" w:hAnsiTheme="majorHAnsi" w:cstheme="majorHAnsi"/>
          <w:color w:val="000000"/>
          <w:sz w:val="20"/>
          <w:szCs w:val="20"/>
        </w:rPr>
      </w:pPr>
    </w:p>
    <w:p w14:paraId="2EFBFFE3">
      <w:pPr>
        <w:numPr>
          <w:ilvl w:val="3"/>
          <w:numId w:val="15"/>
        </w:numPr>
        <w:pBdr>
          <w:top w:val="none" w:color="auto" w:sz="0" w:space="0"/>
          <w:left w:val="none" w:color="auto" w:sz="0" w:space="0"/>
          <w:bottom w:val="none" w:color="auto" w:sz="0" w:space="0"/>
          <w:right w:val="none" w:color="auto" w:sz="0" w:space="0"/>
          <w:between w:val="none" w:color="auto" w:sz="0" w:space="0"/>
        </w:pBdr>
        <w:tabs>
          <w:tab w:val="left" w:pos="993"/>
        </w:tabs>
        <w:spacing w:after="0"/>
        <w:ind w:left="709"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solicitação de troca e coleta do quantitativo não utilizado será realizada pelo Contratante em até 20 (vinte) dias antes do vencimento do produto conforme preceitua a Lei Estadual nº 13.065 de 05 de julho de 2006;</w:t>
      </w:r>
    </w:p>
    <w:p w14:paraId="22DC7CC8">
      <w:pPr>
        <w:numPr>
          <w:ilvl w:val="3"/>
          <w:numId w:val="15"/>
        </w:numPr>
        <w:pBdr>
          <w:top w:val="none" w:color="auto" w:sz="0" w:space="0"/>
          <w:left w:val="none" w:color="auto" w:sz="0" w:space="0"/>
          <w:bottom w:val="none" w:color="auto" w:sz="0" w:space="0"/>
          <w:right w:val="none" w:color="auto" w:sz="0" w:space="0"/>
          <w:between w:val="none" w:color="auto" w:sz="0" w:space="0"/>
        </w:pBdr>
        <w:tabs>
          <w:tab w:val="left" w:pos="993"/>
        </w:tabs>
        <w:spacing w:after="0"/>
        <w:ind w:left="709"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troca deverá ser realizada em até 15 (quinze) dias após a solicitação do Contratante;</w:t>
      </w:r>
    </w:p>
    <w:p w14:paraId="29861533">
      <w:pPr>
        <w:numPr>
          <w:ilvl w:val="3"/>
          <w:numId w:val="15"/>
        </w:numPr>
        <w:pBdr>
          <w:top w:val="none" w:color="auto" w:sz="0" w:space="0"/>
          <w:left w:val="none" w:color="auto" w:sz="0" w:space="0"/>
          <w:bottom w:val="none" w:color="auto" w:sz="0" w:space="0"/>
          <w:right w:val="none" w:color="auto" w:sz="0" w:space="0"/>
          <w:between w:val="none" w:color="auto" w:sz="0" w:space="0"/>
        </w:pBdr>
        <w:tabs>
          <w:tab w:val="left" w:pos="993"/>
        </w:tabs>
        <w:spacing w:after="0"/>
        <w:ind w:left="709"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Caso o Contratante não faça a solicitação descrita no item anterior, dentro do prazo devido, deverá assumir as responsabilidades pelo seu não recolhimento;</w:t>
      </w:r>
    </w:p>
    <w:p w14:paraId="5F070B6F">
      <w:p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993"/>
        </w:tabs>
        <w:spacing w:after="0" w:line="240" w:lineRule="auto"/>
        <w:jc w:val="both"/>
        <w:rPr>
          <w:rFonts w:eastAsia="Times New Roman" w:asciiTheme="majorHAnsi" w:hAnsiTheme="majorHAnsi" w:cstheme="majorHAnsi"/>
          <w:color w:val="000000"/>
          <w:sz w:val="20"/>
          <w:szCs w:val="20"/>
        </w:rPr>
      </w:pPr>
    </w:p>
    <w:p w14:paraId="6740F60B">
      <w:p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851"/>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3.2.16.</w:t>
      </w:r>
      <w:r>
        <w:rPr>
          <w:rFonts w:eastAsia="Times New Roman" w:asciiTheme="majorHAnsi" w:hAnsiTheme="majorHAnsi" w:cstheme="majorHAnsi"/>
          <w:color w:val="000000"/>
          <w:sz w:val="20"/>
          <w:szCs w:val="20"/>
        </w:rPr>
        <w:t xml:space="preserve"> A Contratante reserva-se o direito de não receber nenhum produto com prazo de validade inferior ao especificado no item 3.2.11.1, RESSALVADOS os casos de interesse da Administração, desde que exista solicitação prévia da Contratada e justificativa expressa do órgão interessado, caso em que será formalizado o compromisso de troca de todo quantitativo não utilizado, através da “Carta de Comprometimento de Troca”;</w:t>
      </w:r>
    </w:p>
    <w:p w14:paraId="589E827D">
      <w:p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851"/>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3.2.17.</w:t>
      </w:r>
      <w:r>
        <w:rPr>
          <w:rFonts w:eastAsia="Times New Roman" w:asciiTheme="majorHAnsi" w:hAnsiTheme="majorHAnsi" w:cstheme="majorHAnsi"/>
          <w:color w:val="000000"/>
          <w:sz w:val="20"/>
          <w:szCs w:val="20"/>
        </w:rPr>
        <w:t xml:space="preserve"> No ato da entrega dos insumos garantidos pela Carta de Comprometimento de Troca, a nota fiscal apresentada deve informar que o produto é referente a uma reposição por troca, especificando a nota fiscal e empenho de origem. </w:t>
      </w:r>
    </w:p>
    <w:p w14:paraId="7C42A78D">
      <w:p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851"/>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3.2.18.</w:t>
      </w:r>
      <w:r>
        <w:rPr>
          <w:rFonts w:eastAsia="Times New Roman" w:asciiTheme="majorHAnsi" w:hAnsiTheme="majorHAnsi" w:cstheme="majorHAnsi"/>
          <w:color w:val="000000"/>
          <w:sz w:val="20"/>
          <w:szCs w:val="20"/>
        </w:rPr>
        <w:t xml:space="preserve"> Caso o insumo referente à troca possuir prazo de validade inferior aos especificados no item 3.2.10.1., é necessário o envio de nova Carta de Comprometimento de Troca; </w:t>
      </w:r>
    </w:p>
    <w:p w14:paraId="38F77C97">
      <w:pPr>
        <w:pBdr>
          <w:top w:val="none" w:color="auto" w:sz="0" w:space="0"/>
          <w:left w:val="none" w:color="auto" w:sz="0" w:space="0"/>
          <w:bottom w:val="none" w:color="auto" w:sz="0" w:space="0"/>
          <w:right w:val="none" w:color="auto" w:sz="0" w:space="0"/>
          <w:between w:val="none" w:color="auto" w:sz="0" w:space="0"/>
        </w:pBdr>
        <w:tabs>
          <w:tab w:val="left" w:pos="142"/>
          <w:tab w:val="left" w:pos="567"/>
          <w:tab w:val="left" w:pos="851"/>
        </w:tabs>
        <w:spacing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3.2.19.</w:t>
      </w:r>
      <w:r>
        <w:rPr>
          <w:rFonts w:eastAsia="Times New Roman" w:asciiTheme="majorHAnsi" w:hAnsiTheme="majorHAnsi" w:cstheme="majorHAnsi"/>
          <w:color w:val="000000"/>
          <w:sz w:val="20"/>
          <w:szCs w:val="20"/>
        </w:rPr>
        <w:t xml:space="preserve"> Substituições de marcas de produtos apenas serão aceitas por produto de qualidade igual ou superior, em caso de descontinuidade do produto no mercado junto à ANVISA, na falta de matéria-prima que comprometa a fabricação do medicamento ou por inviabilidade mercadológica e/ou fato superveniente para o fornecimento, certificada pelo respectivo fabricante e mediante aprovação do setor técnico competente do Centro Universitário Integrado de Saúde Amaury de Medeiros.</w:t>
      </w:r>
    </w:p>
    <w:p w14:paraId="18E5BD70">
      <w:pPr>
        <w:pBdr>
          <w:top w:val="none" w:color="auto" w:sz="0" w:space="0"/>
          <w:left w:val="none" w:color="auto" w:sz="0" w:space="0"/>
          <w:bottom w:val="none" w:color="auto" w:sz="0" w:space="0"/>
          <w:right w:val="none" w:color="auto" w:sz="0" w:space="0"/>
          <w:between w:val="none" w:color="auto" w:sz="0" w:space="0"/>
        </w:pBdr>
        <w:shd w:val="clear" w:color="auto" w:fill="8EAADB" w:themeFill="accent1" w:themeFillTint="99"/>
        <w:tabs>
          <w:tab w:val="left" w:pos="142"/>
          <w:tab w:val="left" w:pos="284"/>
        </w:tabs>
        <w:spacing w:before="240" w:after="0" w:line="240" w:lineRule="auto"/>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4. DO VALOR ESTIMADO DA CONTRATAÇÃO, CLASSIFICAÇÃO ORÇAMENTÁRIA DA DESPESA E DO BENEFÍCIO PREVISTO NA LEI COMPLEMENTAR Nº 123/2006</w:t>
      </w:r>
    </w:p>
    <w:p w14:paraId="6A035ED5">
      <w:pPr>
        <w:numPr>
          <w:ilvl w:val="1"/>
          <w:numId w:val="16"/>
        </w:numPr>
        <w:pBdr>
          <w:top w:val="none" w:color="auto" w:sz="0" w:space="0"/>
          <w:left w:val="none" w:color="auto" w:sz="0" w:space="0"/>
          <w:bottom w:val="none" w:color="auto" w:sz="0" w:space="0"/>
          <w:right w:val="none" w:color="auto" w:sz="0" w:space="0"/>
          <w:between w:val="none" w:color="auto" w:sz="0" w:space="0"/>
        </w:pBdr>
        <w:tabs>
          <w:tab w:val="left" w:pos="284"/>
          <w:tab w:val="left" w:pos="426"/>
        </w:tabs>
        <w:spacing w:before="24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VALOR ESTIMADO DA CONTRATAÇÃO</w:t>
      </w:r>
    </w:p>
    <w:p w14:paraId="75516254">
      <w:pPr>
        <w:numPr>
          <w:ilvl w:val="2"/>
          <w:numId w:val="16"/>
        </w:numPr>
        <w:pBdr>
          <w:top w:val="none" w:color="auto" w:sz="0" w:space="0"/>
          <w:left w:val="none" w:color="auto" w:sz="0" w:space="0"/>
          <w:bottom w:val="none" w:color="auto" w:sz="0" w:space="0"/>
          <w:right w:val="none" w:color="auto" w:sz="0" w:space="0"/>
          <w:between w:val="none" w:color="auto" w:sz="0" w:space="0"/>
        </w:pBdr>
        <w:tabs>
          <w:tab w:val="left" w:pos="284"/>
          <w:tab w:val="left" w:pos="567"/>
          <w:tab w:val="left" w:pos="1134"/>
        </w:tabs>
        <w:spacing w:after="0" w:line="240" w:lineRule="auto"/>
        <w:ind w:left="0" w:firstLine="0"/>
        <w:jc w:val="both"/>
        <w:rPr>
          <w:rFonts w:eastAsia="Times New Roman" w:asciiTheme="majorHAnsi" w:hAnsiTheme="majorHAnsi" w:cstheme="majorHAnsi"/>
          <w:color w:val="0070C0"/>
          <w:sz w:val="20"/>
          <w:szCs w:val="20"/>
        </w:rPr>
      </w:pPr>
      <w:r>
        <w:rPr>
          <w:rFonts w:eastAsia="Times New Roman" w:asciiTheme="majorHAnsi" w:hAnsiTheme="majorHAnsi" w:cstheme="majorHAnsi"/>
          <w:color w:val="000000"/>
          <w:sz w:val="20"/>
          <w:szCs w:val="20"/>
        </w:rPr>
        <w:t xml:space="preserve">O </w:t>
      </w:r>
      <w:r>
        <w:rPr>
          <w:rFonts w:eastAsia="Times New Roman" w:asciiTheme="majorHAnsi" w:hAnsiTheme="majorHAnsi" w:cstheme="majorHAnsi"/>
          <w:b/>
          <w:color w:val="000000"/>
          <w:sz w:val="20"/>
          <w:szCs w:val="20"/>
        </w:rPr>
        <w:t>Valor Estimado Global</w:t>
      </w:r>
      <w:r>
        <w:rPr>
          <w:rFonts w:eastAsia="Times New Roman" w:asciiTheme="majorHAnsi" w:hAnsiTheme="majorHAnsi" w:cstheme="majorHAnsi"/>
          <w:color w:val="000000"/>
          <w:sz w:val="20"/>
          <w:szCs w:val="20"/>
        </w:rPr>
        <w:t xml:space="preserve"> da contratação é de </w:t>
      </w:r>
      <w:r>
        <w:rPr>
          <w:rFonts w:eastAsia="Times New Roman" w:asciiTheme="majorHAnsi" w:hAnsiTheme="majorHAnsi" w:cstheme="majorHAnsi"/>
          <w:b/>
          <w:color w:val="000000"/>
          <w:sz w:val="20"/>
          <w:szCs w:val="20"/>
        </w:rPr>
        <w:t xml:space="preserve">R$ 867.230,0300 </w:t>
      </w:r>
      <w:r>
        <w:rPr>
          <w:rFonts w:eastAsia="Times New Roman" w:asciiTheme="majorHAnsi" w:hAnsiTheme="majorHAnsi" w:cstheme="majorHAnsi"/>
          <w:b/>
          <w:color w:val="000000" w:themeColor="text1"/>
          <w:sz w:val="20"/>
          <w:szCs w:val="20"/>
          <w14:textFill>
            <w14:solidFill>
              <w14:schemeClr w14:val="tx1"/>
            </w14:solidFill>
          </w14:textFill>
        </w:rPr>
        <w:t>, (</w:t>
      </w:r>
      <w:r>
        <w:rPr>
          <w:rFonts w:asciiTheme="majorHAnsi" w:hAnsiTheme="majorHAnsi" w:cstheme="majorHAnsi"/>
          <w:b/>
          <w:color w:val="000000" w:themeColor="text1"/>
          <w:sz w:val="20"/>
          <w:szCs w:val="20"/>
          <w:shd w:val="clear" w:color="auto" w:fill="FFFFFF"/>
          <w14:textFill>
            <w14:solidFill>
              <w14:schemeClr w14:val="tx1"/>
            </w14:solidFill>
          </w14:textFill>
        </w:rPr>
        <w:t xml:space="preserve"> oitocentos e sessenta e sete mil, duzentos e trinta</w:t>
      </w:r>
      <w:r>
        <w:rPr>
          <w:rFonts w:asciiTheme="majorHAnsi" w:hAnsiTheme="majorHAnsi" w:cstheme="majorHAnsi"/>
          <w:color w:val="000000" w:themeColor="text1"/>
          <w:sz w:val="20"/>
          <w:szCs w:val="20"/>
          <w:shd w:val="clear" w:color="auto" w:fill="FFFFFF"/>
          <w14:textFill>
            <w14:solidFill>
              <w14:schemeClr w14:val="tx1"/>
            </w14:solidFill>
          </w14:textFill>
        </w:rPr>
        <w:t xml:space="preserve"> </w:t>
      </w:r>
      <w:r>
        <w:rPr>
          <w:rFonts w:asciiTheme="majorHAnsi" w:hAnsiTheme="majorHAnsi" w:cstheme="majorHAnsi"/>
          <w:b/>
          <w:color w:val="000000" w:themeColor="text1"/>
          <w:sz w:val="20"/>
          <w:szCs w:val="20"/>
          <w:shd w:val="clear" w:color="auto" w:fill="FFFFFF"/>
          <w14:textFill>
            <w14:solidFill>
              <w14:schemeClr w14:val="tx1"/>
            </w14:solidFill>
          </w14:textFill>
        </w:rPr>
        <w:t>reais e três centavos</w:t>
      </w:r>
      <w:r>
        <w:rPr>
          <w:rFonts w:eastAsia="Times New Roman" w:asciiTheme="majorHAnsi" w:hAnsiTheme="majorHAnsi" w:cstheme="majorHAnsi"/>
          <w:b/>
          <w:color w:val="000000" w:themeColor="text1"/>
          <w:sz w:val="20"/>
          <w:szCs w:val="20"/>
          <w14:textFill>
            <w14:solidFill>
              <w14:schemeClr w14:val="tx1"/>
            </w14:solidFill>
          </w14:textFill>
        </w:rPr>
        <w:t>).</w:t>
      </w:r>
    </w:p>
    <w:p w14:paraId="0D9EF0DD">
      <w:pPr>
        <w:tabs>
          <w:tab w:val="left" w:pos="142"/>
          <w:tab w:val="left" w:pos="567"/>
        </w:tabs>
        <w:spacing w:after="0"/>
        <w:jc w:val="both"/>
        <w:rPr>
          <w:rFonts w:eastAsia="Times New Roman" w:asciiTheme="majorHAnsi" w:hAnsiTheme="majorHAnsi" w:cstheme="majorHAnsi"/>
          <w:color w:val="0070C0"/>
          <w:sz w:val="20"/>
          <w:szCs w:val="20"/>
        </w:rPr>
      </w:pPr>
    </w:p>
    <w:p w14:paraId="2D89C1C0">
      <w:pPr>
        <w:pBdr>
          <w:top w:val="none" w:color="auto" w:sz="0" w:space="0"/>
          <w:left w:val="none" w:color="auto" w:sz="0" w:space="0"/>
          <w:bottom w:val="none" w:color="auto" w:sz="0" w:space="0"/>
          <w:right w:val="none" w:color="auto" w:sz="0" w:space="0"/>
          <w:between w:val="none" w:color="auto" w:sz="0" w:space="0"/>
        </w:pBdr>
        <w:tabs>
          <w:tab w:val="left" w:pos="142"/>
          <w:tab w:val="left" w:pos="284"/>
          <w:tab w:val="left" w:pos="567"/>
        </w:tabs>
        <w:spacing w:after="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4.1.2.</w:t>
      </w:r>
      <w:r>
        <w:rPr>
          <w:rFonts w:eastAsia="Times New Roman" w:asciiTheme="majorHAnsi" w:hAnsiTheme="majorHAnsi" w:cstheme="majorHAnsi"/>
          <w:color w:val="000000"/>
          <w:sz w:val="20"/>
          <w:szCs w:val="20"/>
        </w:rPr>
        <w:t xml:space="preserve"> No preço total do objeto deverão estar inclusos todos os tributos (impostos, taxas e contribuições), sejam federais, estaduais e municipais, bem como frete, comissões, pessoal, embalagem, seguros, encargos sociais e trabalhistas, assim como demais insumos inerentes que incidam ou venham a incidir sobre o objeto, sejam de que naturezas forem.</w:t>
      </w:r>
    </w:p>
    <w:p w14:paraId="332B8ABD">
      <w:pPr>
        <w:pBdr>
          <w:top w:val="none" w:color="auto" w:sz="0" w:space="0"/>
          <w:left w:val="none" w:color="auto" w:sz="0" w:space="0"/>
          <w:bottom w:val="none" w:color="auto" w:sz="0" w:space="0"/>
          <w:right w:val="none" w:color="auto" w:sz="0" w:space="0"/>
          <w:between w:val="none" w:color="auto" w:sz="0" w:space="0"/>
        </w:pBdr>
        <w:tabs>
          <w:tab w:val="left" w:pos="142"/>
          <w:tab w:val="left" w:pos="567"/>
        </w:tabs>
        <w:spacing w:after="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4.1.3.</w:t>
      </w:r>
      <w:r>
        <w:rPr>
          <w:rFonts w:eastAsia="Times New Roman" w:asciiTheme="majorHAnsi" w:hAnsiTheme="majorHAnsi" w:cstheme="majorHAnsi"/>
          <w:color w:val="000000"/>
          <w:sz w:val="20"/>
          <w:szCs w:val="20"/>
        </w:rPr>
        <w:t xml:space="preserve"> Os preços ﬁnais unitários e totais propostos pelos licitantes não poderão ultrapassar o preço unitário e total estimado pela Administração, sob pena de desclassiﬁcação da proposta.</w:t>
      </w:r>
    </w:p>
    <w:p w14:paraId="767F25F7">
      <w:pPr>
        <w:pBdr>
          <w:top w:val="none" w:color="auto" w:sz="0" w:space="0"/>
          <w:left w:val="none" w:color="auto" w:sz="0" w:space="0"/>
          <w:bottom w:val="none" w:color="auto" w:sz="0" w:space="0"/>
          <w:right w:val="none" w:color="auto" w:sz="0" w:space="0"/>
          <w:between w:val="none" w:color="auto" w:sz="0" w:space="0"/>
        </w:pBdr>
        <w:tabs>
          <w:tab w:val="left" w:pos="142"/>
          <w:tab w:val="left" w:pos="567"/>
        </w:tabs>
        <w:spacing w:after="0"/>
        <w:jc w:val="both"/>
        <w:rPr>
          <w:rFonts w:eastAsia="Times New Roman" w:asciiTheme="majorHAnsi" w:hAnsiTheme="majorHAnsi" w:cstheme="majorHAnsi"/>
          <w:color w:val="000000"/>
          <w:sz w:val="20"/>
          <w:szCs w:val="20"/>
        </w:rPr>
      </w:pPr>
    </w:p>
    <w:p w14:paraId="26A6FA33">
      <w:pPr>
        <w:numPr>
          <w:ilvl w:val="1"/>
          <w:numId w:val="17"/>
        </w:numPr>
        <w:pBdr>
          <w:top w:val="none" w:color="auto" w:sz="0" w:space="0"/>
          <w:left w:val="none" w:color="auto" w:sz="0" w:space="0"/>
          <w:bottom w:val="none" w:color="auto" w:sz="0" w:space="0"/>
          <w:right w:val="none" w:color="auto" w:sz="0" w:space="0"/>
          <w:between w:val="none" w:color="auto" w:sz="0" w:space="0"/>
        </w:pBdr>
        <w:tabs>
          <w:tab w:val="left" w:pos="284"/>
          <w:tab w:val="left" w:pos="426"/>
        </w:tabs>
        <w:spacing w:before="120" w:after="0" w:line="240" w:lineRule="auto"/>
        <w:ind w:left="450"/>
        <w:jc w:val="both"/>
        <w:rPr>
          <w:rFonts w:eastAsia="Times New Roman" w:asciiTheme="majorHAnsi" w:hAnsiTheme="majorHAnsi" w:cstheme="majorHAnsi"/>
          <w:b/>
          <w:color w:val="000000"/>
          <w:sz w:val="20"/>
          <w:szCs w:val="20"/>
        </w:rPr>
      </w:pPr>
      <w:bookmarkStart w:id="5" w:name="_heading=h.1adkznnkutpi" w:colFirst="0" w:colLast="0"/>
      <w:bookmarkEnd w:id="5"/>
      <w:r>
        <w:rPr>
          <w:rFonts w:eastAsia="Times New Roman" w:asciiTheme="majorHAnsi" w:hAnsiTheme="majorHAnsi" w:cstheme="majorHAnsi"/>
          <w:b/>
          <w:color w:val="000000"/>
          <w:sz w:val="20"/>
          <w:szCs w:val="20"/>
        </w:rPr>
        <w:t>CLASSIFICAÇÃO ORÇAMENTÁRIA DA DESPESA</w:t>
      </w:r>
    </w:p>
    <w:p w14:paraId="5E2A4030">
      <w:pPr>
        <w:tabs>
          <w:tab w:val="left" w:pos="709"/>
        </w:tabs>
        <w:spacing w:before="120" w:after="0" w:line="240" w:lineRule="auto"/>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4.2.1.</w:t>
      </w:r>
      <w:r>
        <w:rPr>
          <w:rFonts w:eastAsia="Times New Roman" w:asciiTheme="majorHAnsi" w:hAnsiTheme="majorHAnsi" w:cstheme="majorHAnsi"/>
          <w:sz w:val="20"/>
          <w:szCs w:val="20"/>
        </w:rPr>
        <w:t xml:space="preserve"> As despesas decorrentes desta licitação serão incluídas no orçamento do Centro Universitário Integrado de Saúde Amaury de Medeiros, para o presente exercício, na classificação abaixo: </w:t>
      </w:r>
    </w:p>
    <w:p w14:paraId="2969F4EF">
      <w:pPr>
        <w:pBdr>
          <w:top w:val="none" w:color="auto" w:sz="0" w:space="0"/>
          <w:left w:val="none" w:color="auto" w:sz="0" w:space="0"/>
          <w:bottom w:val="none" w:color="auto" w:sz="0" w:space="0"/>
          <w:right w:val="none" w:color="auto" w:sz="0" w:space="0"/>
          <w:between w:val="none" w:color="auto" w:sz="0" w:space="0"/>
        </w:pBdr>
        <w:tabs>
          <w:tab w:val="left" w:pos="709"/>
        </w:tabs>
        <w:spacing w:before="120" w:after="0" w:line="240" w:lineRule="auto"/>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 xml:space="preserve"> Elemento de Despesa: 3.3.90.30.09</w:t>
      </w:r>
    </w:p>
    <w:p w14:paraId="5CE49328">
      <w:pPr>
        <w:tabs>
          <w:tab w:val="left" w:pos="284"/>
          <w:tab w:val="left" w:pos="426"/>
        </w:tabs>
        <w:spacing w:before="120" w:after="0" w:line="240" w:lineRule="auto"/>
        <w:jc w:val="both"/>
        <w:rPr>
          <w:rFonts w:eastAsia="Times New Roman" w:asciiTheme="majorHAnsi" w:hAnsiTheme="majorHAnsi" w:cstheme="majorHAnsi"/>
          <w:sz w:val="20"/>
          <w:szCs w:val="20"/>
        </w:rPr>
      </w:pPr>
    </w:p>
    <w:p w14:paraId="187CD731">
      <w:pPr>
        <w:numPr>
          <w:ilvl w:val="1"/>
          <w:numId w:val="17"/>
        </w:numPr>
        <w:pBdr>
          <w:top w:val="none" w:color="auto" w:sz="0" w:space="0"/>
          <w:left w:val="none" w:color="auto" w:sz="0" w:space="0"/>
          <w:bottom w:val="none" w:color="auto" w:sz="0" w:space="0"/>
          <w:right w:val="none" w:color="auto" w:sz="0" w:space="0"/>
          <w:between w:val="none" w:color="auto" w:sz="0" w:space="0"/>
        </w:pBdr>
        <w:tabs>
          <w:tab w:val="left" w:pos="284"/>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 xml:space="preserve">JUSTIFICATIVA PARA APLICAÇÃO OU NÃO DO BENEFÍCIO PREVISTO NA LEI COMPLEMENTAR Nº 123/2006 </w:t>
      </w:r>
    </w:p>
    <w:p w14:paraId="7E04CD20">
      <w:pPr>
        <w:numPr>
          <w:ilvl w:val="2"/>
          <w:numId w:val="18"/>
        </w:numPr>
        <w:pBdr>
          <w:top w:val="none" w:color="auto" w:sz="0" w:space="0"/>
          <w:left w:val="none" w:color="auto" w:sz="0" w:space="0"/>
          <w:bottom w:val="none" w:color="auto" w:sz="0" w:space="0"/>
          <w:right w:val="none" w:color="auto" w:sz="0" w:space="0"/>
          <w:between w:val="none" w:color="auto" w:sz="0" w:space="0"/>
        </w:pBdr>
        <w:tabs>
          <w:tab w:val="left" w:pos="284"/>
          <w:tab w:val="right" w:pos="426"/>
        </w:tabs>
        <w:spacing w:after="0" w:line="276" w:lineRule="auto"/>
        <w:ind w:left="0" w:firstLine="0"/>
        <w:jc w:val="both"/>
        <w:rPr>
          <w:rFonts w:eastAsia="Times New Roman" w:asciiTheme="majorHAnsi" w:hAnsiTheme="majorHAnsi" w:cstheme="majorHAnsi"/>
          <w:color w:val="000000"/>
          <w:sz w:val="20"/>
          <w:szCs w:val="20"/>
        </w:rPr>
      </w:pPr>
      <w:bookmarkStart w:id="6" w:name="_heading=h.5122zpxnjfnw" w:colFirst="0" w:colLast="0"/>
      <w:bookmarkEnd w:id="6"/>
      <w:r>
        <w:rPr>
          <w:rFonts w:eastAsia="Times New Roman" w:asciiTheme="majorHAnsi" w:hAnsiTheme="majorHAnsi" w:cstheme="majorHAnsi"/>
          <w:color w:val="000000"/>
          <w:sz w:val="20"/>
          <w:szCs w:val="20"/>
        </w:rPr>
        <w:t>No caso de aquisições de bens, em regra, devem ser objeto de licitações exclusivas para Microempresas (ME), Empresas de Pequeno Porte (EPP) e Microempreendedor Individual (MEI), quando os itens de contratação possuírem valor estimado de até 80 mil reais ou devem ser reservadas cotas de até 25% do quantitativo para essas empresas caso os valores estimados dos itens forem superiores a R$ 80.000,00 (oitenta mil) reais e a natureza dos bens a serem adquiridos seja divisível, nos termos do art. 48, I e III, da LC nº 123/2006.</w:t>
      </w:r>
    </w:p>
    <w:p w14:paraId="22E42572">
      <w:pPr>
        <w:pBdr>
          <w:top w:val="none" w:color="auto" w:sz="0" w:space="0"/>
          <w:left w:val="none" w:color="auto" w:sz="0" w:space="0"/>
          <w:bottom w:val="none" w:color="auto" w:sz="0" w:space="0"/>
          <w:right w:val="none" w:color="auto" w:sz="0" w:space="0"/>
          <w:between w:val="none" w:color="auto" w:sz="0" w:space="0"/>
        </w:pBdr>
        <w:tabs>
          <w:tab w:val="left" w:pos="426"/>
        </w:tabs>
        <w:spacing w:before="240" w:after="0" w:line="276"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4.3.2.</w:t>
      </w:r>
      <w:r>
        <w:rPr>
          <w:rFonts w:eastAsia="Times New Roman" w:asciiTheme="majorHAnsi" w:hAnsiTheme="majorHAnsi" w:cstheme="majorHAnsi"/>
          <w:color w:val="000000"/>
          <w:sz w:val="20"/>
          <w:szCs w:val="20"/>
        </w:rPr>
        <w:t xml:space="preserve">  Excepcionalmente, o tratamento privilegiado destinado às ME, EPP e MEI pode ser afastado, diante de particularidades do caso concreto que impeçam a aplicação dos referidos benefícios, nas hipóteses elencadas nos incisos do art. 49 da citada Lei Complementar nº 123/2006 e art. 9º do Decreto Estadual nº 45.140/2017.</w:t>
      </w:r>
    </w:p>
    <w:p w14:paraId="56A0F656">
      <w:pPr>
        <w:tabs>
          <w:tab w:val="left" w:pos="426"/>
        </w:tabs>
        <w:spacing w:before="240" w:after="0"/>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4.3.3</w:t>
      </w:r>
      <w:r>
        <w:rPr>
          <w:rFonts w:eastAsia="Times New Roman" w:asciiTheme="majorHAnsi" w:hAnsiTheme="majorHAnsi" w:cstheme="majorHAnsi"/>
          <w:sz w:val="20"/>
          <w:szCs w:val="20"/>
        </w:rPr>
        <w:t xml:space="preserve"> O presente processo se enquadra no(s) inciso(s) III do art. 49 da Lei Complementar nº 123/ 2006 e II do art. 9º do Decreto Estadual nº 45.140/2017 citado(s) acima, uma vez que, considerando que o </w:t>
      </w:r>
      <w:r>
        <w:rPr>
          <w:rFonts w:eastAsia="Times New Roman" w:asciiTheme="majorHAnsi" w:hAnsiTheme="majorHAnsi" w:cstheme="majorHAnsi"/>
          <w:sz w:val="20"/>
          <w:szCs w:val="20"/>
          <w:highlight w:val="white"/>
        </w:rPr>
        <w:t xml:space="preserve">processo </w:t>
      </w:r>
      <w:r>
        <w:rPr>
          <w:rFonts w:eastAsia="Times New Roman" w:asciiTheme="majorHAnsi" w:hAnsiTheme="majorHAnsi" w:cstheme="majorHAnsi"/>
          <w:b/>
          <w:sz w:val="20"/>
          <w:szCs w:val="20"/>
          <w:highlight w:val="white"/>
        </w:rPr>
        <w:t>3706.2025,</w:t>
      </w:r>
      <w:r>
        <w:rPr>
          <w:rFonts w:eastAsia="Times New Roman" w:asciiTheme="majorHAnsi" w:hAnsiTheme="majorHAnsi" w:cstheme="majorHAnsi"/>
          <w:b/>
          <w:sz w:val="20"/>
          <w:szCs w:val="20"/>
        </w:rPr>
        <w:t xml:space="preserve"> anterior ao</w:t>
      </w:r>
      <w:r>
        <w:rPr>
          <w:rFonts w:eastAsia="Times New Roman" w:asciiTheme="majorHAnsi" w:hAnsiTheme="majorHAnsi" w:cstheme="majorHAnsi"/>
          <w:sz w:val="20"/>
          <w:szCs w:val="20"/>
        </w:rPr>
        <w:t xml:space="preserve"> </w:t>
      </w:r>
      <w:r>
        <w:rPr>
          <w:rFonts w:eastAsia="Times New Roman" w:asciiTheme="majorHAnsi" w:hAnsiTheme="majorHAnsi" w:cstheme="majorHAnsi"/>
          <w:b/>
          <w:sz w:val="20"/>
          <w:szCs w:val="20"/>
        </w:rPr>
        <w:t>presente,</w:t>
      </w:r>
      <w:r>
        <w:rPr>
          <w:rFonts w:eastAsia="Times New Roman" w:asciiTheme="majorHAnsi" w:hAnsiTheme="majorHAnsi" w:cstheme="majorHAnsi"/>
          <w:sz w:val="20"/>
          <w:szCs w:val="20"/>
        </w:rPr>
        <w:t xml:space="preserve"> </w:t>
      </w:r>
      <w:r>
        <w:rPr>
          <w:rFonts w:eastAsia="Times New Roman" w:asciiTheme="majorHAnsi" w:hAnsiTheme="majorHAnsi" w:cstheme="majorHAnsi"/>
          <w:b/>
          <w:sz w:val="20"/>
          <w:szCs w:val="20"/>
        </w:rPr>
        <w:t>restaram fracassados/revogados</w:t>
      </w:r>
      <w:r>
        <w:rPr>
          <w:rFonts w:eastAsia="Times New Roman" w:asciiTheme="majorHAnsi" w:hAnsiTheme="majorHAnsi" w:cstheme="majorHAnsi"/>
          <w:sz w:val="20"/>
          <w:szCs w:val="20"/>
        </w:rPr>
        <w:t>, e tendo em vista a situação atual de emergência nos hospitais, a limitação da concorrência no certame ensejaria um risco de novo fracasso e, ato contínuo, maiores atrasos fornecimento dos itens e prejuízo ao conjunto do objeto a ser contratado, com risco de desabastecimento.</w:t>
      </w:r>
    </w:p>
    <w:p w14:paraId="7F95A03C">
      <w:pPr>
        <w:pBdr>
          <w:top w:val="none" w:color="auto" w:sz="0" w:space="0"/>
          <w:left w:val="none" w:color="auto" w:sz="0" w:space="0"/>
          <w:bottom w:val="none" w:color="auto" w:sz="0" w:space="0"/>
          <w:right w:val="none" w:color="auto" w:sz="0" w:space="0"/>
          <w:between w:val="none" w:color="auto" w:sz="0" w:space="0"/>
        </w:pBdr>
        <w:tabs>
          <w:tab w:val="left" w:pos="426"/>
        </w:tabs>
        <w:spacing w:before="240" w:after="0" w:line="276" w:lineRule="auto"/>
        <w:jc w:val="both"/>
        <w:rPr>
          <w:rFonts w:eastAsia="Times New Roman" w:asciiTheme="majorHAnsi" w:hAnsiTheme="majorHAnsi" w:cstheme="majorHAnsi"/>
          <w:color w:val="000000"/>
          <w:sz w:val="20"/>
          <w:szCs w:val="20"/>
        </w:rPr>
      </w:pPr>
    </w:p>
    <w:p w14:paraId="0B079690">
      <w:pPr>
        <w:numPr>
          <w:ilvl w:val="0"/>
          <w:numId w:val="19"/>
        </w:numPr>
        <w:pBdr>
          <w:top w:val="none" w:color="auto" w:sz="0" w:space="0"/>
          <w:left w:val="none" w:color="auto" w:sz="0" w:space="0"/>
          <w:bottom w:val="none" w:color="auto" w:sz="0" w:space="0"/>
          <w:right w:val="none" w:color="auto" w:sz="0" w:space="0"/>
          <w:between w:val="none" w:color="auto" w:sz="0" w:space="0"/>
        </w:pBdr>
        <w:shd w:val="clear" w:color="auto" w:fill="8EAADB" w:themeFill="accent1" w:themeFillTint="99"/>
        <w:tabs>
          <w:tab w:val="left" w:pos="284"/>
        </w:tabs>
        <w:spacing w:before="24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DA LICITAÇÃO</w:t>
      </w:r>
    </w:p>
    <w:p w14:paraId="361957F2">
      <w:pPr>
        <w:numPr>
          <w:ilvl w:val="1"/>
          <w:numId w:val="19"/>
        </w:numPr>
        <w:pBdr>
          <w:top w:val="none" w:color="auto" w:sz="0" w:space="0"/>
          <w:left w:val="none" w:color="auto" w:sz="0" w:space="0"/>
          <w:bottom w:val="none" w:color="auto" w:sz="0" w:space="0"/>
          <w:right w:val="none" w:color="auto" w:sz="0" w:space="0"/>
          <w:between w:val="none" w:color="auto" w:sz="0" w:space="0"/>
        </w:pBdr>
        <w:tabs>
          <w:tab w:val="left" w:pos="284"/>
          <w:tab w:val="left" w:pos="426"/>
        </w:tabs>
        <w:spacing w:before="24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MODALIDADE DE LICITAÇÃO, CRITÉRIO DE JULGAMENTO E MODOS DE DISPUTA</w:t>
      </w:r>
    </w:p>
    <w:p w14:paraId="10DBFDDA">
      <w:pPr>
        <w:numPr>
          <w:ilvl w:val="2"/>
          <w:numId w:val="20"/>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 licitação será processada na modalidade </w:t>
      </w:r>
      <w:r>
        <w:rPr>
          <w:rFonts w:eastAsia="Times New Roman" w:asciiTheme="majorHAnsi" w:hAnsiTheme="majorHAnsi" w:cstheme="majorHAnsi"/>
          <w:b/>
          <w:color w:val="000000"/>
          <w:sz w:val="20"/>
          <w:szCs w:val="20"/>
        </w:rPr>
        <w:t>PREGÃO ELETRÔNICO</w:t>
      </w:r>
      <w:r>
        <w:rPr>
          <w:rFonts w:eastAsia="Times New Roman" w:asciiTheme="majorHAnsi" w:hAnsiTheme="majorHAnsi" w:cstheme="majorHAnsi"/>
          <w:color w:val="000000"/>
          <w:sz w:val="20"/>
          <w:szCs w:val="20"/>
        </w:rPr>
        <w:t xml:space="preserve">, tendo como critério de julgamento o </w:t>
      </w:r>
      <w:r>
        <w:rPr>
          <w:rFonts w:eastAsia="Times New Roman" w:asciiTheme="majorHAnsi" w:hAnsiTheme="majorHAnsi" w:cstheme="majorHAnsi"/>
          <w:b/>
          <w:color w:val="000000"/>
          <w:sz w:val="20"/>
          <w:szCs w:val="20"/>
        </w:rPr>
        <w:t>MENOR PREÇO UNITÁRIO POR ITEM.</w:t>
      </w:r>
    </w:p>
    <w:p w14:paraId="2F676DCF">
      <w:pPr>
        <w:numPr>
          <w:ilvl w:val="2"/>
          <w:numId w:val="20"/>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O </w:t>
      </w:r>
      <w:r>
        <w:rPr>
          <w:rFonts w:eastAsia="Times New Roman" w:asciiTheme="majorHAnsi" w:hAnsiTheme="majorHAnsi" w:cstheme="majorHAnsi"/>
          <w:b/>
          <w:color w:val="000000"/>
          <w:sz w:val="20"/>
          <w:szCs w:val="20"/>
        </w:rPr>
        <w:t>MODO DE DISPUTA</w:t>
      </w:r>
      <w:r>
        <w:rPr>
          <w:rFonts w:eastAsia="Times New Roman" w:asciiTheme="majorHAnsi" w:hAnsiTheme="majorHAnsi" w:cstheme="majorHAnsi"/>
          <w:color w:val="000000"/>
          <w:sz w:val="20"/>
          <w:szCs w:val="20"/>
        </w:rPr>
        <w:t xml:space="preserve"> a ser utilizado no certame é o </w:t>
      </w:r>
      <w:r>
        <w:rPr>
          <w:rFonts w:eastAsia="Times New Roman" w:asciiTheme="majorHAnsi" w:hAnsiTheme="majorHAnsi" w:cstheme="majorHAnsi"/>
          <w:b/>
          <w:color w:val="000000"/>
          <w:sz w:val="20"/>
          <w:szCs w:val="20"/>
        </w:rPr>
        <w:t>ABERTO</w:t>
      </w:r>
      <w:r>
        <w:rPr>
          <w:rFonts w:eastAsia="Times New Roman" w:asciiTheme="majorHAnsi" w:hAnsiTheme="majorHAnsi" w:cstheme="majorHAnsi"/>
          <w:color w:val="000000"/>
          <w:sz w:val="20"/>
          <w:szCs w:val="20"/>
        </w:rPr>
        <w:t>.</w:t>
      </w:r>
    </w:p>
    <w:p w14:paraId="3DCB0761">
      <w:pPr>
        <w:numPr>
          <w:ilvl w:val="2"/>
          <w:numId w:val="20"/>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combinação dos parâmetros modalidade de licitação, critério de julgamento e modo de disputa descritos neste Termo de Referência se mostram adequadas e eficientes para seleção da proposta apta a gerar o resultado de contratação mais vantajoso para a Administração Pública, uma vez que promovem um ambiente competitivo que estimula a participação de diversos fornecedores, fomentando a concorrência e, consequentemente, resultando em preços mais competitivos além de tratar-se de aquisição de bem comum, pois seus padrões de desempenho e qualidade podem ser objetivamente definidos pelo edital, por meio de especificações reconhecidas e usuais do mercado, e, portanto, a ser contratada mediante licitação, na modalidade pregão, em sua forma eletrônica, critério de julgamento o menor preço unitário por item e modo de disputa aberto.</w:t>
      </w:r>
    </w:p>
    <w:p w14:paraId="0FC2712A">
      <w:p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jc w:val="both"/>
        <w:rPr>
          <w:rFonts w:eastAsia="Times New Roman" w:asciiTheme="majorHAnsi" w:hAnsiTheme="majorHAnsi" w:cstheme="majorHAnsi"/>
          <w:color w:val="000000"/>
          <w:sz w:val="20"/>
          <w:szCs w:val="20"/>
        </w:rPr>
      </w:pPr>
    </w:p>
    <w:p w14:paraId="6B8061CE">
      <w:pPr>
        <w:numPr>
          <w:ilvl w:val="1"/>
          <w:numId w:val="21"/>
        </w:numPr>
        <w:pBdr>
          <w:top w:val="none" w:color="auto" w:sz="0" w:space="0"/>
          <w:left w:val="none" w:color="auto" w:sz="0" w:space="0"/>
          <w:bottom w:val="none" w:color="auto" w:sz="0" w:space="0"/>
          <w:right w:val="none" w:color="auto" w:sz="0" w:space="0"/>
          <w:between w:val="none" w:color="auto" w:sz="0" w:space="0"/>
        </w:pBdr>
        <w:tabs>
          <w:tab w:val="left" w:pos="284"/>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PROPOSTA</w:t>
      </w:r>
    </w:p>
    <w:p w14:paraId="5C646137">
      <w:pPr>
        <w:numPr>
          <w:ilvl w:val="2"/>
          <w:numId w:val="21"/>
        </w:numPr>
        <w:pBdr>
          <w:top w:val="none" w:color="auto" w:sz="0" w:space="0"/>
          <w:left w:val="none" w:color="auto" w:sz="0" w:space="0"/>
          <w:bottom w:val="none" w:color="auto" w:sz="0" w:space="0"/>
          <w:right w:val="none" w:color="auto" w:sz="0" w:space="0"/>
          <w:between w:val="none" w:color="auto" w:sz="0" w:space="0"/>
        </w:pBdr>
        <w:tabs>
          <w:tab w:val="left" w:pos="284"/>
          <w:tab w:val="left" w:pos="567"/>
          <w:tab w:val="left" w:pos="993"/>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PRAZO DE VALIDADE DA PROPOSTA</w:t>
      </w:r>
    </w:p>
    <w:p w14:paraId="618F5450">
      <w:pPr>
        <w:numPr>
          <w:ilvl w:val="3"/>
          <w:numId w:val="21"/>
        </w:numPr>
        <w:pBdr>
          <w:top w:val="none" w:color="auto" w:sz="0" w:space="0"/>
          <w:left w:val="none" w:color="auto" w:sz="0" w:space="0"/>
          <w:bottom w:val="none" w:color="auto" w:sz="0" w:space="0"/>
          <w:right w:val="none" w:color="auto" w:sz="0" w:space="0"/>
          <w:between w:val="none" w:color="auto" w:sz="0" w:space="0"/>
        </w:pBdr>
        <w:tabs>
          <w:tab w:val="left" w:pos="284"/>
          <w:tab w:val="left" w:pos="567"/>
          <w:tab w:val="left" w:pos="1276"/>
        </w:tabs>
        <w:spacing w:before="120"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As propostas deverão ter validade de, no mínimo, </w:t>
      </w:r>
      <w:r>
        <w:rPr>
          <w:rFonts w:eastAsia="Times New Roman" w:asciiTheme="majorHAnsi" w:hAnsiTheme="majorHAnsi" w:cstheme="majorHAnsi"/>
          <w:b/>
          <w:color w:val="000000"/>
          <w:sz w:val="20"/>
          <w:szCs w:val="20"/>
        </w:rPr>
        <w:t>120</w:t>
      </w:r>
      <w:r>
        <w:rPr>
          <w:rFonts w:eastAsia="Times New Roman" w:asciiTheme="majorHAnsi" w:hAnsiTheme="majorHAnsi" w:cstheme="majorHAnsi"/>
          <w:color w:val="000000"/>
          <w:sz w:val="20"/>
          <w:szCs w:val="20"/>
        </w:rPr>
        <w:t xml:space="preserve"> </w:t>
      </w:r>
      <w:r>
        <w:rPr>
          <w:rFonts w:eastAsia="Times New Roman" w:asciiTheme="majorHAnsi" w:hAnsiTheme="majorHAnsi" w:cstheme="majorHAnsi"/>
          <w:b/>
          <w:color w:val="000000"/>
          <w:sz w:val="20"/>
          <w:szCs w:val="20"/>
        </w:rPr>
        <w:t>(cento e vinte) dias</w:t>
      </w:r>
      <w:r>
        <w:rPr>
          <w:rFonts w:eastAsia="Times New Roman" w:asciiTheme="majorHAnsi" w:hAnsiTheme="majorHAnsi" w:cstheme="majorHAnsi"/>
          <w:color w:val="000000"/>
          <w:sz w:val="20"/>
          <w:szCs w:val="20"/>
        </w:rPr>
        <w:t>, contados da data de abertura da sessão pública, independente de declaração da licitante.</w:t>
      </w:r>
    </w:p>
    <w:p w14:paraId="523C4BD7">
      <w:pPr>
        <w:pBdr>
          <w:top w:val="none" w:color="auto" w:sz="0" w:space="0"/>
          <w:left w:val="none" w:color="auto" w:sz="0" w:space="0"/>
          <w:bottom w:val="none" w:color="auto" w:sz="0" w:space="0"/>
          <w:right w:val="none" w:color="auto" w:sz="0" w:space="0"/>
          <w:between w:val="none" w:color="auto" w:sz="0" w:space="0"/>
        </w:pBdr>
        <w:tabs>
          <w:tab w:val="left" w:pos="284"/>
          <w:tab w:val="left" w:pos="567"/>
          <w:tab w:val="left" w:pos="1276"/>
        </w:tabs>
        <w:spacing w:before="120" w:after="0" w:line="240" w:lineRule="auto"/>
        <w:ind w:left="567"/>
        <w:jc w:val="both"/>
        <w:rPr>
          <w:rFonts w:eastAsia="Times New Roman" w:asciiTheme="majorHAnsi" w:hAnsiTheme="majorHAnsi" w:cstheme="majorHAnsi"/>
          <w:color w:val="000000"/>
          <w:sz w:val="20"/>
          <w:szCs w:val="20"/>
        </w:rPr>
      </w:pPr>
    </w:p>
    <w:p w14:paraId="77D12AE0">
      <w:pPr>
        <w:numPr>
          <w:ilvl w:val="2"/>
          <w:numId w:val="21"/>
        </w:numPr>
        <w:pBdr>
          <w:top w:val="none" w:color="auto" w:sz="0" w:space="0"/>
          <w:left w:val="none" w:color="auto" w:sz="0" w:space="0"/>
          <w:bottom w:val="none" w:color="auto" w:sz="0" w:space="0"/>
          <w:right w:val="none" w:color="auto" w:sz="0" w:space="0"/>
          <w:between w:val="none" w:color="auto" w:sz="0" w:space="0"/>
        </w:pBdr>
        <w:tabs>
          <w:tab w:val="left" w:pos="284"/>
          <w:tab w:val="left" w:pos="426"/>
          <w:tab w:val="left" w:pos="567"/>
          <w:tab w:val="left" w:pos="993"/>
        </w:tabs>
        <w:spacing w:before="120" w:after="0" w:line="240" w:lineRule="auto"/>
        <w:ind w:left="0" w:firstLine="0"/>
        <w:jc w:val="both"/>
        <w:rPr>
          <w:rFonts w:eastAsia="Times New Roman" w:asciiTheme="majorHAnsi" w:hAnsiTheme="majorHAnsi" w:cstheme="majorHAnsi"/>
          <w:color w:val="000000"/>
          <w:sz w:val="20"/>
          <w:szCs w:val="20"/>
          <w:u w:val="single"/>
        </w:rPr>
      </w:pPr>
      <w:r>
        <w:rPr>
          <w:rFonts w:eastAsia="Times New Roman" w:asciiTheme="majorHAnsi" w:hAnsiTheme="majorHAnsi" w:cstheme="majorHAnsi"/>
          <w:b/>
          <w:color w:val="000000"/>
          <w:sz w:val="20"/>
          <w:szCs w:val="20"/>
        </w:rPr>
        <w:t xml:space="preserve">CONDIÇÕES DA PROPOSTA </w:t>
      </w:r>
    </w:p>
    <w:p w14:paraId="2FE7377F">
      <w:pPr>
        <w:numPr>
          <w:ilvl w:val="3"/>
          <w:numId w:val="21"/>
        </w:numPr>
        <w:pBdr>
          <w:top w:val="none" w:color="auto" w:sz="0" w:space="0"/>
          <w:left w:val="none" w:color="auto" w:sz="0" w:space="0"/>
          <w:bottom w:val="none" w:color="auto" w:sz="0" w:space="0"/>
          <w:right w:val="none" w:color="auto" w:sz="0" w:space="0"/>
          <w:between w:val="none" w:color="auto" w:sz="0" w:space="0"/>
        </w:pBdr>
        <w:tabs>
          <w:tab w:val="left" w:pos="284"/>
          <w:tab w:val="left" w:pos="567"/>
          <w:tab w:val="left" w:pos="1276"/>
        </w:tabs>
        <w:spacing w:before="120"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propostas de preços deverão ser elaboradas, com base no ANEXO B, indicando a marca do item e acompanhadas dos seguintes documentos:</w:t>
      </w:r>
    </w:p>
    <w:p w14:paraId="78768E39">
      <w:pPr>
        <w:pBdr>
          <w:top w:val="none" w:color="auto" w:sz="0" w:space="0"/>
          <w:left w:val="none" w:color="auto" w:sz="0" w:space="0"/>
          <w:bottom w:val="none" w:color="auto" w:sz="0" w:space="0"/>
          <w:right w:val="none" w:color="auto" w:sz="0" w:space="0"/>
          <w:between w:val="none" w:color="auto" w:sz="0" w:space="0"/>
        </w:pBdr>
        <w:tabs>
          <w:tab w:val="left" w:pos="284"/>
          <w:tab w:val="left" w:pos="567"/>
          <w:tab w:val="left" w:pos="1276"/>
        </w:tabs>
        <w:spacing w:before="120" w:after="0" w:line="240" w:lineRule="auto"/>
        <w:ind w:left="567"/>
        <w:jc w:val="both"/>
        <w:rPr>
          <w:rFonts w:eastAsia="Times New Roman" w:asciiTheme="majorHAnsi" w:hAnsiTheme="majorHAnsi" w:cstheme="majorHAnsi"/>
          <w:color w:val="000000"/>
          <w:sz w:val="20"/>
          <w:szCs w:val="20"/>
        </w:rPr>
      </w:pPr>
    </w:p>
    <w:p w14:paraId="54002E83">
      <w:pPr>
        <w:numPr>
          <w:ilvl w:val="4"/>
          <w:numId w:val="21"/>
        </w:numPr>
        <w:pBdr>
          <w:top w:val="none" w:color="auto" w:sz="0" w:space="0"/>
          <w:left w:val="none" w:color="auto" w:sz="0" w:space="0"/>
          <w:bottom w:val="none" w:color="auto" w:sz="0" w:space="0"/>
          <w:right w:val="none" w:color="auto" w:sz="0" w:space="0"/>
          <w:between w:val="none" w:color="auto" w:sz="0" w:space="0"/>
        </w:pBdr>
        <w:spacing w:after="0"/>
        <w:ind w:left="1134"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Comprovação de registro do(s) medicamentos(s) ofertado(s) na Agência Nacional de Vigilância Sanitária – ANVISA, conforme estabelece as Leis nº 6.360/1976 e 13.097/2015 ou sua publicação no Diário Oficial da União;</w:t>
      </w:r>
    </w:p>
    <w:p w14:paraId="51375DE9">
      <w:pPr>
        <w:numPr>
          <w:ilvl w:val="5"/>
          <w:numId w:val="21"/>
        </w:numPr>
        <w:pBdr>
          <w:top w:val="none" w:color="auto" w:sz="0" w:space="0"/>
          <w:left w:val="none" w:color="auto" w:sz="0" w:space="0"/>
          <w:bottom w:val="none" w:color="auto" w:sz="0" w:space="0"/>
          <w:right w:val="none" w:color="auto" w:sz="0" w:space="0"/>
          <w:between w:val="none" w:color="auto" w:sz="0" w:space="0"/>
        </w:pBdr>
        <w:tabs>
          <w:tab w:val="left" w:pos="3119"/>
        </w:tabs>
        <w:spacing w:after="0"/>
        <w:ind w:left="212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No caso de medicamentos de notificação simplificada constantes na RDC/ANVISA nº 576/2021 e suas atualizações, o licitante deverá apresentar a notificação simplificada de registro válido junto à ANVISA e a cópia do rótulo a fim de permitir a verificação das características técnicas do produto;</w:t>
      </w:r>
    </w:p>
    <w:p w14:paraId="3847E316">
      <w:pPr>
        <w:pBdr>
          <w:top w:val="none" w:color="auto" w:sz="0" w:space="0"/>
          <w:left w:val="none" w:color="auto" w:sz="0" w:space="0"/>
          <w:bottom w:val="none" w:color="auto" w:sz="0" w:space="0"/>
          <w:right w:val="none" w:color="auto" w:sz="0" w:space="0"/>
          <w:between w:val="none" w:color="auto" w:sz="0" w:space="0"/>
        </w:pBdr>
        <w:spacing w:after="0"/>
        <w:ind w:left="2127"/>
        <w:jc w:val="both"/>
        <w:rPr>
          <w:rFonts w:eastAsia="Times New Roman" w:asciiTheme="majorHAnsi" w:hAnsiTheme="majorHAnsi" w:cstheme="majorHAnsi"/>
          <w:color w:val="000000"/>
          <w:sz w:val="20"/>
          <w:szCs w:val="20"/>
        </w:rPr>
      </w:pPr>
    </w:p>
    <w:p w14:paraId="0AD24A00">
      <w:pPr>
        <w:numPr>
          <w:ilvl w:val="4"/>
          <w:numId w:val="21"/>
        </w:numPr>
        <w:pBdr>
          <w:top w:val="none" w:color="auto" w:sz="0" w:space="0"/>
          <w:left w:val="none" w:color="auto" w:sz="0" w:space="0"/>
          <w:bottom w:val="none" w:color="auto" w:sz="0" w:space="0"/>
          <w:right w:val="none" w:color="auto" w:sz="0" w:space="0"/>
          <w:between w:val="none" w:color="auto" w:sz="0" w:space="0"/>
        </w:pBdr>
        <w:spacing w:after="0"/>
        <w:ind w:left="1134"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Bula ou cópia autenticada ou documento similar, na língua portuguesa, compatível com a declaração detalhada da marca dos medicamentos cotados, que comprovem as suas especificações, na língua portuguesa, de forma a propiciar o julgamento da proposta. Quando for desnecessária a bula, conforme legislação vigente, apresentar cópia do respectivo ato formal ou legislação pertinente, conforme Portaria nº 802/1998 e RDC ANVISA nº 576/2021;</w:t>
      </w:r>
    </w:p>
    <w:p w14:paraId="5DF55172">
      <w:pPr>
        <w:numPr>
          <w:ilvl w:val="4"/>
          <w:numId w:val="21"/>
        </w:numPr>
        <w:pBdr>
          <w:top w:val="none" w:color="auto" w:sz="0" w:space="0"/>
          <w:left w:val="none" w:color="auto" w:sz="0" w:space="0"/>
          <w:bottom w:val="none" w:color="auto" w:sz="0" w:space="0"/>
          <w:right w:val="none" w:color="auto" w:sz="0" w:space="0"/>
          <w:between w:val="none" w:color="auto" w:sz="0" w:space="0"/>
        </w:pBdr>
        <w:spacing w:after="0"/>
        <w:ind w:left="1134"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Quando o produto for detentor do benefício, a dedução do ICMS deverá estar explícita na proposta de preço do licitante, que deve conter a alíquota incidente e a dedução do que seria devido, caso não houvesse o benefício;</w:t>
      </w:r>
    </w:p>
    <w:p w14:paraId="2B6D1C82">
      <w:pPr>
        <w:numPr>
          <w:ilvl w:val="4"/>
          <w:numId w:val="21"/>
        </w:numPr>
        <w:pBdr>
          <w:top w:val="none" w:color="auto" w:sz="0" w:space="0"/>
          <w:left w:val="none" w:color="auto" w:sz="0" w:space="0"/>
          <w:bottom w:val="none" w:color="auto" w:sz="0" w:space="0"/>
          <w:right w:val="none" w:color="auto" w:sz="0" w:space="0"/>
          <w:between w:val="none" w:color="auto" w:sz="0" w:space="0"/>
        </w:pBdr>
        <w:spacing w:after="0"/>
        <w:ind w:left="1134"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Nas aquisições de medicamentos, o medicamento genérico, quando houver, terá preferência sobre os demais em condições de igualdade de preço, nos termos do Art. 3º, § 2º, da Lei nº 9.787/1999.</w:t>
      </w:r>
    </w:p>
    <w:p w14:paraId="2B6D844A">
      <w:pPr>
        <w:numPr>
          <w:ilvl w:val="4"/>
          <w:numId w:val="21"/>
        </w:numPr>
        <w:pBdr>
          <w:top w:val="none" w:color="auto" w:sz="0" w:space="0"/>
          <w:left w:val="none" w:color="auto" w:sz="0" w:space="0"/>
          <w:bottom w:val="none" w:color="auto" w:sz="0" w:space="0"/>
          <w:right w:val="none" w:color="auto" w:sz="0" w:space="0"/>
          <w:between w:val="none" w:color="auto" w:sz="0" w:space="0"/>
        </w:pBdr>
        <w:spacing w:after="0"/>
        <w:ind w:left="1134"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O pregoeiro poderá solicitar emissão de parecer técnico acerca das especificações do objeto da proposta, tendo a área técnica o prazo de 3 (três) dias úteis para apresentar seu parecer técnico; </w:t>
      </w:r>
    </w:p>
    <w:p w14:paraId="6977C132">
      <w:pPr>
        <w:pBdr>
          <w:top w:val="none" w:color="auto" w:sz="0" w:space="0"/>
          <w:left w:val="none" w:color="auto" w:sz="0" w:space="0"/>
          <w:bottom w:val="none" w:color="auto" w:sz="0" w:space="0"/>
          <w:right w:val="none" w:color="auto" w:sz="0" w:space="0"/>
          <w:between w:val="none" w:color="auto" w:sz="0" w:space="0"/>
        </w:pBdr>
        <w:spacing w:after="0"/>
        <w:ind w:left="720"/>
        <w:rPr>
          <w:rFonts w:eastAsia="Times New Roman" w:asciiTheme="majorHAnsi" w:hAnsiTheme="majorHAnsi" w:cstheme="majorHAnsi"/>
          <w:color w:val="000000"/>
          <w:sz w:val="20"/>
          <w:szCs w:val="20"/>
        </w:rPr>
      </w:pPr>
    </w:p>
    <w:p w14:paraId="0CC2E49E">
      <w:pPr>
        <w:pBdr>
          <w:top w:val="none" w:color="auto" w:sz="0" w:space="0"/>
          <w:left w:val="none" w:color="auto" w:sz="0" w:space="0"/>
          <w:bottom w:val="none" w:color="auto" w:sz="0" w:space="0"/>
          <w:right w:val="none" w:color="auto" w:sz="0" w:space="0"/>
          <w:between w:val="none" w:color="auto" w:sz="0" w:space="0"/>
        </w:pBdr>
        <w:spacing w:after="0"/>
        <w:ind w:left="-142"/>
        <w:rPr>
          <w:rFonts w:eastAsia="Times New Roman" w:asciiTheme="majorHAnsi" w:hAnsiTheme="majorHAnsi" w:cstheme="majorHAnsi"/>
          <w:color w:val="FF0000"/>
          <w:sz w:val="20"/>
          <w:szCs w:val="20"/>
        </w:rPr>
      </w:pPr>
    </w:p>
    <w:p w14:paraId="4961529B">
      <w:pPr>
        <w:numPr>
          <w:ilvl w:val="1"/>
          <w:numId w:val="21"/>
        </w:num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ind w:left="426" w:hanging="426"/>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REQUISITOS ESPECÍFICOS DE HABILITAÇÃO</w:t>
      </w:r>
    </w:p>
    <w:p w14:paraId="5A59A7D2">
      <w:pPr>
        <w:numPr>
          <w:ilvl w:val="2"/>
          <w:numId w:val="21"/>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HABILITAÇÃO JURÍDICA</w:t>
      </w:r>
    </w:p>
    <w:p w14:paraId="1BD3B5A8">
      <w:pPr>
        <w:numPr>
          <w:ilvl w:val="3"/>
          <w:numId w:val="21"/>
        </w:numPr>
        <w:pBdr>
          <w:top w:val="none" w:color="auto" w:sz="0" w:space="0"/>
          <w:left w:val="none" w:color="auto" w:sz="0" w:space="0"/>
          <w:bottom w:val="none" w:color="auto" w:sz="0" w:space="0"/>
          <w:right w:val="none" w:color="auto" w:sz="0" w:space="0"/>
          <w:between w:val="none" w:color="auto" w:sz="0" w:space="0"/>
        </w:pBdr>
        <w:spacing w:after="0"/>
        <w:ind w:hanging="152"/>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Os requisitos de habilitação jurídica serão descritos no Edital da presente contratação.</w:t>
      </w:r>
    </w:p>
    <w:p w14:paraId="609A39A8">
      <w:pPr>
        <w:pBdr>
          <w:top w:val="none" w:color="auto" w:sz="0" w:space="0"/>
          <w:left w:val="none" w:color="auto" w:sz="0" w:space="0"/>
          <w:bottom w:val="none" w:color="auto" w:sz="0" w:space="0"/>
          <w:right w:val="none" w:color="auto" w:sz="0" w:space="0"/>
          <w:between w:val="none" w:color="auto" w:sz="0" w:space="0"/>
        </w:pBdr>
        <w:tabs>
          <w:tab w:val="left" w:pos="567"/>
          <w:tab w:val="left" w:pos="1276"/>
        </w:tabs>
        <w:spacing w:after="0" w:line="240" w:lineRule="auto"/>
        <w:ind w:left="567"/>
        <w:jc w:val="both"/>
        <w:rPr>
          <w:rFonts w:eastAsia="Times New Roman" w:asciiTheme="majorHAnsi" w:hAnsiTheme="majorHAnsi" w:cstheme="majorHAnsi"/>
          <w:color w:val="000000"/>
          <w:sz w:val="20"/>
          <w:szCs w:val="20"/>
        </w:rPr>
      </w:pPr>
    </w:p>
    <w:p w14:paraId="4B95885F">
      <w:pPr>
        <w:numPr>
          <w:ilvl w:val="2"/>
          <w:numId w:val="22"/>
        </w:numPr>
        <w:pBdr>
          <w:top w:val="none" w:color="auto" w:sz="0" w:space="0"/>
          <w:left w:val="none" w:color="auto" w:sz="0" w:space="0"/>
          <w:bottom w:val="none" w:color="auto" w:sz="0" w:space="0"/>
          <w:right w:val="none" w:color="auto" w:sz="0" w:space="0"/>
          <w:between w:val="none" w:color="auto" w:sz="0" w:space="0"/>
        </w:pBdr>
        <w:spacing w:after="200" w:line="276" w:lineRule="auto"/>
        <w:ind w:left="567" w:hanging="567"/>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 xml:space="preserve">REQUISITOS DE QUALIFICAÇÃO TÉCNICA </w:t>
      </w:r>
    </w:p>
    <w:p w14:paraId="4806FB09">
      <w:pPr>
        <w:numPr>
          <w:ilvl w:val="3"/>
          <w:numId w:val="22"/>
        </w:num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Certidão de Regularidade Técnica</w:t>
      </w:r>
      <w:r>
        <w:rPr>
          <w:rFonts w:eastAsia="Times New Roman" w:asciiTheme="majorHAnsi" w:hAnsiTheme="majorHAnsi" w:cstheme="majorHAnsi"/>
          <w:color w:val="000000"/>
          <w:sz w:val="20"/>
          <w:szCs w:val="20"/>
        </w:rPr>
        <w:t>, do ano em exercício, expedido pelo Conselho Regional de Farmácia de sua jurisdição, conforme art. 55 da Res. CFF nº 638 de 24 de março de 2017;</w:t>
      </w:r>
    </w:p>
    <w:p w14:paraId="7FAF33DB">
      <w:pPr>
        <w:pBdr>
          <w:top w:val="none" w:color="auto" w:sz="0" w:space="0"/>
          <w:left w:val="none" w:color="auto" w:sz="0" w:space="0"/>
          <w:bottom w:val="none" w:color="auto" w:sz="0" w:space="0"/>
          <w:right w:val="none" w:color="auto" w:sz="0" w:space="0"/>
          <w:between w:val="none" w:color="auto" w:sz="0" w:space="0"/>
        </w:pBdr>
        <w:tabs>
          <w:tab w:val="left" w:pos="0"/>
          <w:tab w:val="left" w:pos="284"/>
          <w:tab w:val="left" w:pos="709"/>
          <w:tab w:val="left" w:pos="993"/>
          <w:tab w:val="left" w:pos="1276"/>
        </w:tabs>
        <w:spacing w:after="0" w:line="240" w:lineRule="auto"/>
        <w:ind w:left="567"/>
        <w:jc w:val="both"/>
        <w:rPr>
          <w:rFonts w:eastAsia="Times New Roman" w:asciiTheme="majorHAnsi" w:hAnsiTheme="majorHAnsi" w:cstheme="majorHAnsi"/>
          <w:color w:val="000000"/>
          <w:sz w:val="20"/>
          <w:szCs w:val="20"/>
        </w:rPr>
      </w:pPr>
    </w:p>
    <w:p w14:paraId="47B7C04E">
      <w:pPr>
        <w:numPr>
          <w:ilvl w:val="3"/>
          <w:numId w:val="22"/>
        </w:num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Declaração do Detentor de Registro – DDR</w:t>
      </w:r>
      <w:r>
        <w:rPr>
          <w:rFonts w:eastAsia="Times New Roman" w:asciiTheme="majorHAnsi" w:hAnsiTheme="majorHAnsi" w:cstheme="majorHAnsi"/>
          <w:color w:val="000000"/>
          <w:sz w:val="20"/>
          <w:szCs w:val="20"/>
        </w:rPr>
        <w:t>, se tratando de medicamento importado, cuja importação seja realizada por terceiro não detentor do registro do medicamento na ANVISA.</w:t>
      </w:r>
    </w:p>
    <w:p w14:paraId="3D32E04A">
      <w:pPr>
        <w:pBdr>
          <w:top w:val="none" w:color="auto" w:sz="0" w:space="0"/>
          <w:left w:val="none" w:color="auto" w:sz="0" w:space="0"/>
          <w:bottom w:val="none" w:color="auto" w:sz="0" w:space="0"/>
          <w:right w:val="none" w:color="auto" w:sz="0" w:space="0"/>
          <w:between w:val="none" w:color="auto" w:sz="0" w:space="0"/>
        </w:pBdr>
        <w:tabs>
          <w:tab w:val="left" w:pos="1276"/>
        </w:tabs>
        <w:spacing w:after="0" w:line="240" w:lineRule="auto"/>
        <w:ind w:left="567"/>
        <w:jc w:val="both"/>
        <w:rPr>
          <w:rFonts w:eastAsia="Times New Roman" w:asciiTheme="majorHAnsi" w:hAnsiTheme="majorHAnsi" w:cstheme="majorHAnsi"/>
          <w:color w:val="0070C0"/>
          <w:sz w:val="20"/>
          <w:szCs w:val="20"/>
        </w:rPr>
      </w:pPr>
    </w:p>
    <w:p w14:paraId="6E9FB193">
      <w:pPr>
        <w:numPr>
          <w:ilvl w:val="3"/>
          <w:numId w:val="22"/>
        </w:num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Licença de funcionamento</w:t>
      </w:r>
      <w:r>
        <w:rPr>
          <w:rFonts w:eastAsia="Times New Roman" w:asciiTheme="majorHAnsi" w:hAnsiTheme="majorHAnsi" w:cstheme="majorHAnsi"/>
          <w:color w:val="000000"/>
          <w:sz w:val="20"/>
          <w:szCs w:val="20"/>
        </w:rPr>
        <w:t xml:space="preserve"> do estabelecimento, para o exercício da atividade de comércio atacadista ou de distribuição de MEDICAMENTOS, emitida pelo órgão sanitário competente da unidade federativa em que se localize, nos termos da Lei nº 6.360, de 23 de setembro de 1976 e do Decreto nº 8.077, de 14 de agosto de 2013;</w:t>
      </w:r>
    </w:p>
    <w:p w14:paraId="3F7E89E1">
      <w:pPr>
        <w:pBdr>
          <w:top w:val="none" w:color="auto" w:sz="0" w:space="0"/>
          <w:left w:val="none" w:color="auto" w:sz="0" w:space="0"/>
          <w:bottom w:val="none" w:color="auto" w:sz="0" w:space="0"/>
          <w:right w:val="none" w:color="auto" w:sz="0" w:space="0"/>
          <w:between w:val="none" w:color="auto" w:sz="0" w:space="0"/>
        </w:pBdr>
        <w:tabs>
          <w:tab w:val="left" w:pos="1276"/>
        </w:tabs>
        <w:spacing w:after="0" w:line="240" w:lineRule="auto"/>
        <w:ind w:left="567"/>
        <w:jc w:val="both"/>
        <w:rPr>
          <w:rFonts w:eastAsia="Times New Roman" w:asciiTheme="majorHAnsi" w:hAnsiTheme="majorHAnsi" w:cstheme="majorHAnsi"/>
          <w:color w:val="000000"/>
          <w:sz w:val="20"/>
          <w:szCs w:val="20"/>
        </w:rPr>
      </w:pPr>
    </w:p>
    <w:p w14:paraId="0EA911A4">
      <w:pPr>
        <w:numPr>
          <w:ilvl w:val="3"/>
          <w:numId w:val="22"/>
        </w:num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Ato de Autorização de Funcionamento</w:t>
      </w:r>
      <w:r>
        <w:rPr>
          <w:rFonts w:eastAsia="Times New Roman" w:asciiTheme="majorHAnsi" w:hAnsiTheme="majorHAnsi" w:cstheme="majorHAnsi"/>
          <w:color w:val="000000"/>
          <w:sz w:val="20"/>
          <w:szCs w:val="20"/>
        </w:rPr>
        <w:t xml:space="preserve"> para o exercício da atividade de comércio atacadista ou de distribuição de MEDICAMENTOS, expedido pela ANVISA (Agência Nacional de Vigilância Sanitária) nos termos da Lei nº 6.360, de 23 de setembro de 1976, e da Resolução da Diretoria Colegiada da RDC/Anvisa nº 16, de 1º de abril de 2014;</w:t>
      </w:r>
    </w:p>
    <w:p w14:paraId="4A53D1A2">
      <w:pPr>
        <w:pBdr>
          <w:top w:val="none" w:color="auto" w:sz="0" w:space="0"/>
          <w:left w:val="none" w:color="auto" w:sz="0" w:space="0"/>
          <w:bottom w:val="none" w:color="auto" w:sz="0" w:space="0"/>
          <w:right w:val="none" w:color="auto" w:sz="0" w:space="0"/>
          <w:between w:val="none" w:color="auto" w:sz="0" w:space="0"/>
        </w:pBdr>
        <w:tabs>
          <w:tab w:val="left" w:pos="1276"/>
        </w:tabs>
        <w:spacing w:after="0" w:line="240" w:lineRule="auto"/>
        <w:ind w:left="567"/>
        <w:jc w:val="both"/>
        <w:rPr>
          <w:rFonts w:eastAsia="Times New Roman" w:asciiTheme="majorHAnsi" w:hAnsiTheme="majorHAnsi" w:cstheme="majorHAnsi"/>
          <w:color w:val="000000"/>
          <w:sz w:val="20"/>
          <w:szCs w:val="20"/>
        </w:rPr>
      </w:pPr>
    </w:p>
    <w:p w14:paraId="3045C9B4">
      <w:pPr>
        <w:numPr>
          <w:ilvl w:val="3"/>
          <w:numId w:val="22"/>
        </w:num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Em caso de medicamentos sujeitos a controle especial, relacionados na Portaria SVS/MS nº 344/98, Autorização Especial (AE) expedida pela Agência Nacional de Vigilância Sanitária (ANVISA).</w:t>
      </w:r>
    </w:p>
    <w:p w14:paraId="50AF6CFB">
      <w:p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jc w:val="both"/>
        <w:rPr>
          <w:rFonts w:eastAsia="Times New Roman" w:asciiTheme="majorHAnsi" w:hAnsiTheme="majorHAnsi" w:cstheme="majorHAnsi"/>
          <w:color w:val="000000"/>
          <w:sz w:val="20"/>
          <w:szCs w:val="20"/>
        </w:rPr>
      </w:pPr>
    </w:p>
    <w:p w14:paraId="35A49F19">
      <w:pPr>
        <w:numPr>
          <w:ilvl w:val="3"/>
          <w:numId w:val="22"/>
        </w:num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Não será aceito qualquer protocolo de entrega ou de solicitação de documentos em substituição aos documentos relacionados no Edital, salvo em relação às licenças sanitárias de renovação, se houver e as possíveis alterações na Autorização de Funcionamento da Empresa (AFE) (conforme o inciso 3, art. 15 da RDC 16/2014) ficando a aceitação do protocolo condicionada à consulta prévia aos órgãos competentes;</w:t>
      </w:r>
    </w:p>
    <w:p w14:paraId="467D9753">
      <w:pPr>
        <w:pBdr>
          <w:top w:val="none" w:color="auto" w:sz="0" w:space="0"/>
          <w:left w:val="none" w:color="auto" w:sz="0" w:space="0"/>
          <w:bottom w:val="none" w:color="auto" w:sz="0" w:space="0"/>
          <w:right w:val="none" w:color="auto" w:sz="0" w:space="0"/>
          <w:between w:val="none" w:color="auto" w:sz="0" w:space="0"/>
        </w:pBdr>
        <w:tabs>
          <w:tab w:val="left" w:pos="1276"/>
        </w:tabs>
        <w:spacing w:after="0" w:line="240" w:lineRule="auto"/>
        <w:ind w:left="567"/>
        <w:jc w:val="both"/>
        <w:rPr>
          <w:rFonts w:eastAsia="Times New Roman" w:asciiTheme="majorHAnsi" w:hAnsiTheme="majorHAnsi" w:cstheme="majorHAnsi"/>
          <w:color w:val="000000"/>
          <w:sz w:val="20"/>
          <w:szCs w:val="20"/>
        </w:rPr>
      </w:pPr>
    </w:p>
    <w:p w14:paraId="3B39B20B">
      <w:p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rPr>
          <w:rFonts w:eastAsia="Times New Roman" w:asciiTheme="majorHAnsi" w:hAnsiTheme="majorHAnsi" w:cstheme="majorHAnsi"/>
          <w:b/>
          <w:color w:val="000000"/>
          <w:sz w:val="20"/>
          <w:szCs w:val="20"/>
        </w:rPr>
      </w:pPr>
    </w:p>
    <w:p w14:paraId="4F0E5FC2">
      <w:pPr>
        <w:numPr>
          <w:ilvl w:val="2"/>
          <w:numId w:val="22"/>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0" w:firstLine="0"/>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REQUISITOS DE QUALIFICAÇÃO ECONÔMICO-FINANCEIRA</w:t>
      </w:r>
    </w:p>
    <w:p w14:paraId="06342935">
      <w:pPr>
        <w:numPr>
          <w:ilvl w:val="3"/>
          <w:numId w:val="22"/>
        </w:numPr>
        <w:pBdr>
          <w:top w:val="none" w:color="auto" w:sz="0" w:space="0"/>
          <w:left w:val="none" w:color="auto" w:sz="0" w:space="0"/>
          <w:bottom w:val="none" w:color="auto" w:sz="0" w:space="0"/>
          <w:right w:val="none" w:color="auto" w:sz="0" w:space="0"/>
          <w:between w:val="none" w:color="auto" w:sz="0" w:space="0"/>
        </w:pBdr>
        <w:tabs>
          <w:tab w:val="left" w:pos="709"/>
          <w:tab w:val="left" w:pos="1276"/>
        </w:tabs>
        <w:spacing w:before="120" w:after="0" w:line="240" w:lineRule="auto"/>
        <w:ind w:left="567"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color w:val="000000"/>
          <w:sz w:val="20"/>
          <w:szCs w:val="20"/>
        </w:rPr>
        <w:t>Os requisitos de qualificação econômico-financeira serão descritos no Edital da presente contratação.</w:t>
      </w:r>
    </w:p>
    <w:p w14:paraId="7D2AAEC3">
      <w:pPr>
        <w:pBdr>
          <w:top w:val="none" w:color="auto" w:sz="0" w:space="0"/>
          <w:left w:val="none" w:color="auto" w:sz="0" w:space="0"/>
          <w:bottom w:val="none" w:color="auto" w:sz="0" w:space="0"/>
          <w:right w:val="none" w:color="auto" w:sz="0" w:space="0"/>
          <w:between w:val="none" w:color="auto" w:sz="0" w:space="0"/>
        </w:pBdr>
        <w:tabs>
          <w:tab w:val="left" w:pos="709"/>
          <w:tab w:val="left" w:pos="1276"/>
        </w:tabs>
        <w:spacing w:before="120" w:after="0" w:line="240" w:lineRule="auto"/>
        <w:ind w:left="567"/>
        <w:jc w:val="both"/>
        <w:rPr>
          <w:rFonts w:eastAsia="Times New Roman" w:asciiTheme="majorHAnsi" w:hAnsiTheme="majorHAnsi" w:cstheme="majorHAnsi"/>
          <w:b/>
          <w:color w:val="000000"/>
          <w:sz w:val="20"/>
          <w:szCs w:val="20"/>
        </w:rPr>
      </w:pPr>
    </w:p>
    <w:p w14:paraId="67C2BEE3">
      <w:pPr>
        <w:numPr>
          <w:ilvl w:val="2"/>
          <w:numId w:val="22"/>
        </w:numPr>
        <w:pBdr>
          <w:top w:val="none" w:color="auto" w:sz="0" w:space="0"/>
          <w:left w:val="none" w:color="auto" w:sz="0" w:space="0"/>
          <w:bottom w:val="none" w:color="auto" w:sz="0" w:space="0"/>
          <w:right w:val="none" w:color="auto" w:sz="0" w:space="0"/>
          <w:between w:val="none" w:color="auto" w:sz="0" w:space="0"/>
        </w:pBdr>
        <w:tabs>
          <w:tab w:val="left" w:pos="851"/>
          <w:tab w:val="left" w:pos="1276"/>
        </w:tabs>
        <w:spacing w:after="0" w:line="276" w:lineRule="auto"/>
        <w:ind w:left="567" w:hanging="567"/>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HABILITAÇÃO FISCAL, SOCIAL E TRABALHISTA</w:t>
      </w:r>
    </w:p>
    <w:p w14:paraId="1E5083DA">
      <w:pPr>
        <w:numPr>
          <w:ilvl w:val="3"/>
          <w:numId w:val="22"/>
        </w:num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firstLine="0"/>
        <w:rPr>
          <w:rFonts w:eastAsia="Times New Roman" w:asciiTheme="majorHAnsi" w:hAnsiTheme="majorHAnsi" w:cstheme="majorHAnsi"/>
          <w:b/>
          <w:color w:val="000000"/>
          <w:sz w:val="20"/>
          <w:szCs w:val="20"/>
        </w:rPr>
      </w:pPr>
      <w:r>
        <w:rPr>
          <w:rFonts w:eastAsia="Times New Roman" w:asciiTheme="majorHAnsi" w:hAnsiTheme="majorHAnsi" w:cstheme="majorHAnsi"/>
          <w:color w:val="000000"/>
          <w:sz w:val="20"/>
          <w:szCs w:val="20"/>
        </w:rPr>
        <w:t>Os requisitos de qualificação de regularidade fiscal, social e trabalhista serão descritos no Edital do presente processo.</w:t>
      </w:r>
    </w:p>
    <w:p w14:paraId="4E7F5FD4">
      <w:pPr>
        <w:pBdr>
          <w:top w:val="none" w:color="auto" w:sz="0" w:space="0"/>
          <w:left w:val="none" w:color="auto" w:sz="0" w:space="0"/>
          <w:bottom w:val="none" w:color="auto" w:sz="0" w:space="0"/>
          <w:right w:val="none" w:color="auto" w:sz="0" w:space="0"/>
          <w:between w:val="none" w:color="auto" w:sz="0" w:space="0"/>
        </w:pBdr>
        <w:tabs>
          <w:tab w:val="left" w:pos="1276"/>
        </w:tabs>
        <w:spacing w:after="0" w:line="276" w:lineRule="auto"/>
        <w:ind w:left="567"/>
        <w:rPr>
          <w:rFonts w:eastAsia="Times New Roman" w:asciiTheme="majorHAnsi" w:hAnsiTheme="majorHAnsi" w:cstheme="majorHAnsi"/>
          <w:b/>
          <w:color w:val="000000"/>
          <w:sz w:val="20"/>
          <w:szCs w:val="20"/>
        </w:rPr>
      </w:pPr>
    </w:p>
    <w:p w14:paraId="152C9EB3">
      <w:pPr>
        <w:numPr>
          <w:ilvl w:val="0"/>
          <w:numId w:val="22"/>
        </w:numPr>
        <w:pBdr>
          <w:top w:val="none" w:color="auto" w:sz="0" w:space="0"/>
          <w:left w:val="none" w:color="auto" w:sz="0" w:space="0"/>
          <w:bottom w:val="none" w:color="auto" w:sz="0" w:space="0"/>
          <w:right w:val="none" w:color="auto" w:sz="0" w:space="0"/>
          <w:between w:val="none" w:color="auto" w:sz="0" w:space="0"/>
        </w:pBdr>
        <w:shd w:val="clear" w:color="auto" w:fill="8EAADB" w:themeFill="accent1" w:themeFillTint="99"/>
        <w:tabs>
          <w:tab w:val="left" w:pos="284"/>
        </w:tabs>
        <w:spacing w:after="0" w:line="240" w:lineRule="auto"/>
        <w:ind w:left="0" w:firstLine="0"/>
        <w:jc w:val="both"/>
        <w:rPr>
          <w:rFonts w:eastAsia="Times New Roman" w:asciiTheme="majorHAnsi" w:hAnsiTheme="majorHAnsi" w:cstheme="majorHAnsi"/>
          <w:b/>
          <w:color w:val="FF0000"/>
          <w:sz w:val="20"/>
          <w:szCs w:val="20"/>
        </w:rPr>
      </w:pPr>
      <w:r>
        <w:rPr>
          <w:rFonts w:eastAsia="Times New Roman" w:asciiTheme="majorHAnsi" w:hAnsiTheme="majorHAnsi" w:cstheme="majorHAnsi"/>
          <w:b/>
          <w:color w:val="000000"/>
          <w:sz w:val="20"/>
          <w:szCs w:val="20"/>
        </w:rPr>
        <w:t xml:space="preserve">DO REGISTRO DE PREÇOS </w:t>
      </w:r>
    </w:p>
    <w:p w14:paraId="345CBA05">
      <w:pPr>
        <w:pBdr>
          <w:top w:val="none" w:color="auto" w:sz="0" w:space="0"/>
          <w:left w:val="none" w:color="auto" w:sz="0" w:space="0"/>
          <w:bottom w:val="none" w:color="auto" w:sz="0" w:space="0"/>
          <w:right w:val="none" w:color="auto" w:sz="0" w:space="0"/>
          <w:between w:val="none" w:color="auto" w:sz="0" w:space="0"/>
        </w:pBdr>
        <w:spacing w:before="240" w:after="0" w:line="240" w:lineRule="auto"/>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6.1.  JUSTIFICATIVA PARA UTILIZAÇÃO DO SISTEMA DE REGISTRO DE PREÇOS</w:t>
      </w:r>
    </w:p>
    <w:p w14:paraId="5FA82531">
      <w:pPr>
        <w:numPr>
          <w:ilvl w:val="2"/>
          <w:numId w:val="23"/>
        </w:numPr>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opção pelo sistema de registro de preços para a contratação do objeto constante deste Termo de Referência tem fundamentação art. 3º, incisos I, III, IV e V do Decreto nº 54.700, de 16 de maio de 2023, visto que as contratações serão frequentes e feitas por todas as unidades descritas no quadro do item 6.3 (caso haja resposta a IRP). Além disso, o agrupamento das demandas em uma única aquisição proporciona sua padronização e uniformização, ao mesmo tempo em que possibilita obtenção de um maior ganho em escala.</w:t>
      </w:r>
    </w:p>
    <w:p w14:paraId="469F4CB5">
      <w:pPr>
        <w:pBdr>
          <w:top w:val="none" w:color="auto" w:sz="0" w:space="0"/>
          <w:left w:val="none" w:color="auto" w:sz="0" w:space="0"/>
          <w:bottom w:val="none" w:color="auto" w:sz="0" w:space="0"/>
          <w:right w:val="none" w:color="auto" w:sz="0" w:space="0"/>
          <w:between w:val="none" w:color="auto" w:sz="0" w:space="0"/>
        </w:pBdr>
        <w:tabs>
          <w:tab w:val="left" w:pos="284"/>
          <w:tab w:val="left" w:pos="567"/>
          <w:tab w:val="left" w:pos="851"/>
          <w:tab w:val="left" w:pos="1086"/>
        </w:tabs>
        <w:spacing w:before="120" w:after="0" w:line="240" w:lineRule="auto"/>
        <w:jc w:val="both"/>
        <w:rPr>
          <w:rFonts w:eastAsia="Times New Roman" w:asciiTheme="majorHAnsi" w:hAnsiTheme="majorHAnsi" w:cstheme="majorHAnsi"/>
          <w:color w:val="000000"/>
          <w:sz w:val="20"/>
          <w:szCs w:val="20"/>
        </w:rPr>
      </w:pPr>
    </w:p>
    <w:p w14:paraId="17E920DD">
      <w:pPr>
        <w:numPr>
          <w:ilvl w:val="1"/>
          <w:numId w:val="23"/>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ÓRGÃO GERENCIADOR</w:t>
      </w:r>
    </w:p>
    <w:p w14:paraId="25F6339C">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s>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 Centro Universitário Integrado de Saúde Amaury de Medeiros (CISAM) é o órgão gerenciador deste Registro de Preços.</w:t>
      </w:r>
    </w:p>
    <w:p w14:paraId="2CC15AB7">
      <w:pPr>
        <w:pBdr>
          <w:top w:val="none" w:color="auto" w:sz="0" w:space="0"/>
          <w:left w:val="none" w:color="auto" w:sz="0" w:space="0"/>
          <w:bottom w:val="none" w:color="auto" w:sz="0" w:space="0"/>
          <w:right w:val="none" w:color="auto" w:sz="0" w:space="0"/>
          <w:between w:val="none" w:color="auto" w:sz="0" w:space="0"/>
        </w:pBdr>
        <w:tabs>
          <w:tab w:val="left" w:pos="567"/>
        </w:tabs>
        <w:spacing w:after="0" w:line="240" w:lineRule="auto"/>
        <w:jc w:val="both"/>
        <w:rPr>
          <w:rFonts w:eastAsia="Times New Roman" w:asciiTheme="majorHAnsi" w:hAnsiTheme="majorHAnsi" w:cstheme="majorHAnsi"/>
          <w:color w:val="000000"/>
          <w:sz w:val="20"/>
          <w:szCs w:val="20"/>
        </w:rPr>
      </w:pPr>
    </w:p>
    <w:p w14:paraId="64C9F4AD">
      <w:pPr>
        <w:numPr>
          <w:ilvl w:val="1"/>
          <w:numId w:val="23"/>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ÓRGÃOS OU ENTIDADES PARTICIPANTES</w:t>
      </w:r>
    </w:p>
    <w:p w14:paraId="42DFD7C5">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Figuram como Órgãos/Entidades participantes da presente Ata de Registro de Preços junto com o Centro Universitário Integrado de Saúde Amaury de Medeiros (CISAM):</w:t>
      </w:r>
    </w:p>
    <w:p w14:paraId="3C320E8E">
      <w:p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720"/>
        <w:jc w:val="both"/>
        <w:rPr>
          <w:rFonts w:eastAsia="Times New Roman" w:asciiTheme="majorHAnsi" w:hAnsiTheme="majorHAnsi" w:cstheme="majorHAnsi"/>
          <w:sz w:val="20"/>
          <w:szCs w:val="20"/>
        </w:rPr>
      </w:pPr>
    </w:p>
    <w:p w14:paraId="5E10A317">
      <w:pPr>
        <w:numPr>
          <w:ilvl w:val="3"/>
          <w:numId w:val="24"/>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after="0" w:line="240" w:lineRule="auto"/>
        <w:ind w:left="567"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sz w:val="20"/>
          <w:szCs w:val="20"/>
        </w:rPr>
        <w:t>Hospital Agamenon Magalhães - HAM</w:t>
      </w:r>
    </w:p>
    <w:p w14:paraId="58A3A80D">
      <w:pPr>
        <w:numPr>
          <w:ilvl w:val="3"/>
          <w:numId w:val="24"/>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after="0" w:line="240" w:lineRule="auto"/>
        <w:ind w:left="567" w:firstLine="0"/>
        <w:jc w:val="both"/>
        <w:rPr>
          <w:rFonts w:eastAsia="Times New Roman" w:asciiTheme="majorHAnsi" w:hAnsiTheme="majorHAnsi" w:cstheme="majorHAnsi"/>
          <w:b/>
          <w:sz w:val="20"/>
          <w:szCs w:val="20"/>
        </w:rPr>
      </w:pPr>
      <w:r>
        <w:rPr>
          <w:rFonts w:eastAsia="Times New Roman" w:asciiTheme="majorHAnsi" w:hAnsiTheme="majorHAnsi" w:cstheme="majorHAnsi"/>
          <w:b/>
          <w:sz w:val="20"/>
          <w:szCs w:val="20"/>
        </w:rPr>
        <w:t>Hospital Otávio de Freitas - HOF</w:t>
      </w:r>
    </w:p>
    <w:p w14:paraId="6973E880">
      <w:pPr>
        <w:numPr>
          <w:ilvl w:val="3"/>
          <w:numId w:val="24"/>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after="0" w:line="240" w:lineRule="auto"/>
        <w:ind w:left="567" w:firstLine="0"/>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Pronto Socorro Cardiológico Universitário de Pernambuco - PROCAPE</w:t>
      </w:r>
    </w:p>
    <w:p w14:paraId="04437565">
      <w:p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after="0" w:line="240" w:lineRule="auto"/>
        <w:ind w:left="2880"/>
        <w:jc w:val="both"/>
        <w:rPr>
          <w:rFonts w:eastAsia="Times New Roman" w:asciiTheme="majorHAnsi" w:hAnsiTheme="majorHAnsi" w:cstheme="majorHAnsi"/>
          <w:sz w:val="20"/>
          <w:szCs w:val="20"/>
        </w:rPr>
      </w:pPr>
    </w:p>
    <w:p w14:paraId="103CDFC8">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Distribuição de quantidades por órgão participante, de acordo com a Manifestação de Interesse a Intenção de Registro de Preço</w:t>
      </w:r>
      <w:r>
        <w:rPr>
          <w:rFonts w:eastAsia="Times New Roman" w:asciiTheme="majorHAnsi" w:hAnsiTheme="majorHAnsi" w:cstheme="majorHAnsi"/>
          <w:color w:val="000000"/>
          <w:sz w:val="20"/>
          <w:szCs w:val="20"/>
          <w:highlight w:val="white"/>
        </w:rPr>
        <w:t xml:space="preserve"> nº </w:t>
      </w:r>
      <w:r>
        <w:rPr>
          <w:rFonts w:eastAsia="Times New Roman" w:asciiTheme="majorHAnsi" w:hAnsiTheme="majorHAnsi" w:cstheme="majorHAnsi"/>
          <w:sz w:val="20"/>
          <w:szCs w:val="20"/>
          <w:highlight w:val="white"/>
        </w:rPr>
        <w:t>IRP.0067.2025</w:t>
      </w:r>
      <w:r>
        <w:rPr>
          <w:rFonts w:eastAsia="Times New Roman" w:asciiTheme="majorHAnsi" w:hAnsiTheme="majorHAnsi" w:cstheme="majorHAnsi"/>
          <w:color w:val="000000"/>
          <w:sz w:val="20"/>
          <w:szCs w:val="20"/>
          <w:highlight w:val="white"/>
        </w:rPr>
        <w:t>:</w:t>
      </w:r>
    </w:p>
    <w:p w14:paraId="763E9825">
      <w:p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after="0" w:line="240" w:lineRule="auto"/>
        <w:jc w:val="both"/>
        <w:rPr>
          <w:rFonts w:eastAsia="Times New Roman" w:asciiTheme="majorHAnsi" w:hAnsiTheme="majorHAnsi" w:cstheme="majorHAnsi"/>
          <w:color w:val="000000"/>
          <w:sz w:val="20"/>
          <w:szCs w:val="20"/>
        </w:rPr>
      </w:pPr>
    </w:p>
    <w:tbl>
      <w:tblPr>
        <w:tblStyle w:val="127"/>
        <w:tblW w:w="991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5"/>
        <w:gridCol w:w="900"/>
        <w:gridCol w:w="3270"/>
        <w:gridCol w:w="1020"/>
        <w:gridCol w:w="1065"/>
        <w:gridCol w:w="1035"/>
        <w:gridCol w:w="1095"/>
        <w:gridCol w:w="885"/>
      </w:tblGrid>
      <w:tr w14:paraId="57D3B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000000" w:sz="4" w:space="0"/>
              <w:right w:val="single" w:color="000000" w:sz="4" w:space="0"/>
            </w:tcBorders>
            <w:vAlign w:val="center"/>
          </w:tcPr>
          <w:p w14:paraId="75D8ABF4">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b/>
                <w:color w:val="000000"/>
                <w:sz w:val="20"/>
                <w:szCs w:val="20"/>
                <w:lang w:val="en-US"/>
              </w:rPr>
            </w:pPr>
            <w:r>
              <w:rPr>
                <w:rFonts w:eastAsia="Calibri" w:asciiTheme="majorHAnsi" w:hAnsiTheme="majorHAnsi" w:cstheme="majorHAnsi"/>
                <w:b/>
                <w:color w:val="000000"/>
                <w:sz w:val="20"/>
                <w:szCs w:val="20"/>
                <w:lang w:val="en-US"/>
              </w:rPr>
              <w:t>Item</w:t>
            </w:r>
          </w:p>
        </w:tc>
        <w:tc>
          <w:tcPr>
            <w:tcW w:w="900" w:type="dxa"/>
            <w:tcBorders>
              <w:top w:val="single" w:color="000000" w:sz="4" w:space="0"/>
              <w:left w:val="single" w:color="000000" w:sz="4" w:space="0"/>
              <w:bottom w:val="single" w:color="000000" w:sz="4" w:space="0"/>
              <w:right w:val="single" w:color="000000" w:sz="4" w:space="0"/>
            </w:tcBorders>
            <w:vAlign w:val="center"/>
          </w:tcPr>
          <w:p w14:paraId="2489FEC2">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b/>
                <w:color w:val="000000"/>
                <w:sz w:val="20"/>
                <w:szCs w:val="20"/>
                <w:lang w:val="en-US"/>
              </w:rPr>
            </w:pPr>
            <w:r>
              <w:rPr>
                <w:rFonts w:eastAsia="Calibri" w:asciiTheme="majorHAnsi" w:hAnsiTheme="majorHAnsi" w:cstheme="majorHAnsi"/>
                <w:b/>
                <w:color w:val="000000"/>
                <w:sz w:val="20"/>
                <w:szCs w:val="20"/>
                <w:lang w:val="en-US"/>
              </w:rPr>
              <w:t>E-fisco</w:t>
            </w:r>
          </w:p>
        </w:tc>
        <w:tc>
          <w:tcPr>
            <w:tcW w:w="3270" w:type="dxa"/>
            <w:tcBorders>
              <w:top w:val="single" w:color="000000" w:sz="4" w:space="0"/>
              <w:left w:val="single" w:color="000000" w:sz="4" w:space="0"/>
              <w:bottom w:val="single" w:color="000000" w:sz="4" w:space="0"/>
              <w:right w:val="single" w:color="000000" w:sz="4" w:space="0"/>
            </w:tcBorders>
            <w:vAlign w:val="center"/>
          </w:tcPr>
          <w:p w14:paraId="616416DC">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b/>
                <w:color w:val="000000"/>
                <w:sz w:val="20"/>
                <w:szCs w:val="20"/>
                <w:lang w:val="en-US"/>
              </w:rPr>
            </w:pPr>
            <w:r>
              <w:rPr>
                <w:rFonts w:eastAsia="Calibri" w:asciiTheme="majorHAnsi" w:hAnsiTheme="majorHAnsi" w:cstheme="majorHAnsi"/>
                <w:b/>
                <w:color w:val="000000"/>
                <w:sz w:val="20"/>
                <w:szCs w:val="20"/>
                <w:lang w:val="en-US"/>
              </w:rPr>
              <w:t>Descrição</w:t>
            </w:r>
          </w:p>
        </w:tc>
        <w:tc>
          <w:tcPr>
            <w:tcW w:w="1020" w:type="dxa"/>
            <w:tcBorders>
              <w:top w:val="single" w:color="000000" w:sz="4" w:space="0"/>
              <w:left w:val="single" w:color="000000" w:sz="4" w:space="0"/>
              <w:bottom w:val="single" w:color="000000" w:sz="4" w:space="0"/>
              <w:right w:val="single" w:color="000000" w:sz="4" w:space="0"/>
            </w:tcBorders>
            <w:vAlign w:val="center"/>
          </w:tcPr>
          <w:p w14:paraId="5B9122CD">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b/>
                <w:color w:val="000000"/>
                <w:sz w:val="20"/>
                <w:szCs w:val="20"/>
                <w:lang w:val="en-US"/>
              </w:rPr>
            </w:pPr>
            <w:r>
              <w:rPr>
                <w:rFonts w:eastAsia="Calibri" w:asciiTheme="majorHAnsi" w:hAnsiTheme="majorHAnsi" w:cstheme="majorHAnsi"/>
                <w:b/>
                <w:color w:val="000000"/>
                <w:sz w:val="20"/>
                <w:szCs w:val="20"/>
                <w:lang w:val="en-US"/>
              </w:rPr>
              <w:t>CISAM</w:t>
            </w:r>
          </w:p>
        </w:tc>
        <w:tc>
          <w:tcPr>
            <w:tcW w:w="1065" w:type="dxa"/>
            <w:tcBorders>
              <w:top w:val="single" w:color="000000" w:sz="4" w:space="0"/>
              <w:left w:val="single" w:color="000000" w:sz="4" w:space="0"/>
              <w:bottom w:val="single" w:color="000000" w:sz="4" w:space="0"/>
              <w:right w:val="single" w:color="000000" w:sz="4" w:space="0"/>
            </w:tcBorders>
            <w:vAlign w:val="center"/>
          </w:tcPr>
          <w:p w14:paraId="485D59EA">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b/>
                <w:color w:val="000000"/>
                <w:sz w:val="20"/>
                <w:szCs w:val="20"/>
                <w:highlight w:val="white"/>
                <w:lang w:val="en-US"/>
              </w:rPr>
            </w:pPr>
            <w:r>
              <w:rPr>
                <w:rFonts w:eastAsia="Calibri" w:asciiTheme="majorHAnsi" w:hAnsiTheme="majorHAnsi" w:cstheme="majorHAnsi"/>
                <w:b/>
                <w:sz w:val="20"/>
                <w:szCs w:val="20"/>
                <w:highlight w:val="white"/>
                <w:lang w:val="en-US"/>
              </w:rPr>
              <w:t>HAM</w:t>
            </w:r>
          </w:p>
        </w:tc>
        <w:tc>
          <w:tcPr>
            <w:tcW w:w="1035" w:type="dxa"/>
            <w:tcBorders>
              <w:top w:val="single" w:color="000000" w:sz="4" w:space="0"/>
              <w:left w:val="single" w:color="000000" w:sz="4" w:space="0"/>
              <w:bottom w:val="single" w:color="000000" w:sz="4" w:space="0"/>
              <w:right w:val="single" w:color="000000" w:sz="4" w:space="0"/>
            </w:tcBorders>
            <w:vAlign w:val="center"/>
          </w:tcPr>
          <w:p w14:paraId="17BD3201">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b/>
                <w:color w:val="000000"/>
                <w:sz w:val="20"/>
                <w:szCs w:val="20"/>
                <w:highlight w:val="white"/>
                <w:lang w:val="en-US"/>
              </w:rPr>
            </w:pPr>
            <w:r>
              <w:rPr>
                <w:rFonts w:eastAsia="Calibri" w:asciiTheme="majorHAnsi" w:hAnsiTheme="majorHAnsi" w:cstheme="majorHAnsi"/>
                <w:b/>
                <w:sz w:val="20"/>
                <w:szCs w:val="20"/>
                <w:highlight w:val="white"/>
                <w:lang w:val="en-US"/>
              </w:rPr>
              <w:t>HOF</w:t>
            </w:r>
          </w:p>
        </w:tc>
        <w:tc>
          <w:tcPr>
            <w:tcW w:w="1095" w:type="dxa"/>
            <w:tcBorders>
              <w:top w:val="single" w:color="000000" w:sz="4" w:space="0"/>
              <w:left w:val="single" w:color="000000" w:sz="4" w:space="0"/>
              <w:bottom w:val="single" w:color="000000" w:sz="4" w:space="0"/>
              <w:right w:val="single" w:color="000000" w:sz="4" w:space="0"/>
            </w:tcBorders>
            <w:vAlign w:val="center"/>
          </w:tcPr>
          <w:p w14:paraId="3B192853">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b/>
                <w:color w:val="000000"/>
                <w:sz w:val="20"/>
                <w:szCs w:val="20"/>
                <w:highlight w:val="white"/>
                <w:lang w:val="en-US"/>
              </w:rPr>
            </w:pPr>
            <w:r>
              <w:rPr>
                <w:rFonts w:eastAsia="Calibri" w:asciiTheme="majorHAnsi" w:hAnsiTheme="majorHAnsi" w:cstheme="majorHAnsi"/>
                <w:b/>
                <w:sz w:val="20"/>
                <w:szCs w:val="20"/>
                <w:highlight w:val="white"/>
                <w:lang w:val="en-US"/>
              </w:rPr>
              <w:t>PROCAPE</w:t>
            </w:r>
          </w:p>
        </w:tc>
        <w:tc>
          <w:tcPr>
            <w:tcW w:w="885" w:type="dxa"/>
            <w:tcBorders>
              <w:top w:val="single" w:color="000000" w:sz="4" w:space="0"/>
              <w:left w:val="single" w:color="000000" w:sz="4" w:space="0"/>
              <w:bottom w:val="single" w:color="000000" w:sz="4" w:space="0"/>
              <w:right w:val="single" w:color="000000" w:sz="4" w:space="0"/>
            </w:tcBorders>
            <w:vAlign w:val="center"/>
          </w:tcPr>
          <w:p w14:paraId="2E32B8D6">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b/>
                <w:color w:val="000000"/>
                <w:sz w:val="20"/>
                <w:szCs w:val="20"/>
                <w:lang w:val="en-US"/>
              </w:rPr>
            </w:pPr>
            <w:r>
              <w:rPr>
                <w:rFonts w:eastAsia="Calibri" w:asciiTheme="majorHAnsi" w:hAnsiTheme="majorHAnsi" w:cstheme="majorHAnsi"/>
                <w:b/>
                <w:color w:val="000000"/>
                <w:sz w:val="20"/>
                <w:szCs w:val="20"/>
                <w:lang w:val="en-US"/>
              </w:rPr>
              <w:t>Quant Total</w:t>
            </w:r>
          </w:p>
        </w:tc>
      </w:tr>
      <w:tr w14:paraId="48C76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000000" w:sz="4" w:space="0"/>
              <w:right w:val="single" w:color="000000" w:sz="4" w:space="0"/>
            </w:tcBorders>
            <w:vAlign w:val="center"/>
          </w:tcPr>
          <w:p w14:paraId="5E665220">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color w:val="000000"/>
                <w:sz w:val="20"/>
                <w:szCs w:val="20"/>
                <w:lang w:val="en-US"/>
              </w:rPr>
              <w:t>1</w:t>
            </w:r>
          </w:p>
        </w:tc>
        <w:tc>
          <w:tcPr>
            <w:tcW w:w="900" w:type="dxa"/>
            <w:tcBorders>
              <w:top w:val="single" w:color="000000"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2974AAC4">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4682190</w:t>
            </w:r>
          </w:p>
        </w:tc>
        <w:tc>
          <w:tcPr>
            <w:tcW w:w="3270" w:type="dxa"/>
            <w:tcBorders>
              <w:top w:val="single" w:color="000000"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5092FA0B">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CAFEÍNA</w:t>
            </w:r>
            <w:r>
              <w:rPr>
                <w:rFonts w:eastAsia="Calibri" w:asciiTheme="majorHAnsi" w:hAnsiTheme="majorHAnsi" w:cstheme="majorHAnsi"/>
                <w:sz w:val="20"/>
                <w:szCs w:val="20"/>
                <w:lang w:val="en-US"/>
              </w:rPr>
              <w:t xml:space="preserve"> - CONCENTRAÇÃO/DOSAGEM </w:t>
            </w:r>
            <w:r>
              <w:rPr>
                <w:rFonts w:eastAsia="Calibri" w:asciiTheme="majorHAnsi" w:hAnsiTheme="majorHAnsi" w:cstheme="majorHAnsi"/>
                <w:b/>
                <w:sz w:val="20"/>
                <w:szCs w:val="20"/>
                <w:lang w:val="en-US"/>
              </w:rPr>
              <w:t>20MG/ML</w:t>
            </w:r>
            <w:r>
              <w:rPr>
                <w:rFonts w:eastAsia="Calibri" w:asciiTheme="majorHAnsi" w:hAnsiTheme="majorHAnsi" w:cstheme="majorHAnsi"/>
                <w:sz w:val="20"/>
                <w:szCs w:val="20"/>
                <w:lang w:val="en-US"/>
              </w:rPr>
              <w:t>,FORMA FARMACÊUTICA SOLUÇÃO INJETÁVEL,FORMA DE APRESENTAÇÃO AMPOLA,VIA DE ADMINISTRAÇÃO INTRAVENOSA</w:t>
            </w:r>
          </w:p>
        </w:tc>
        <w:tc>
          <w:tcPr>
            <w:tcW w:w="1020" w:type="dxa"/>
            <w:tcBorders>
              <w:top w:val="single" w:color="000000" w:sz="8" w:space="0"/>
              <w:left w:val="single" w:color="CCCCCC" w:sz="8" w:space="0"/>
              <w:bottom w:val="single" w:color="000000" w:sz="8" w:space="0"/>
              <w:right w:val="single" w:color="000000" w:sz="8" w:space="0"/>
            </w:tcBorders>
            <w:tcMar>
              <w:top w:w="0" w:type="dxa"/>
              <w:left w:w="40" w:type="dxa"/>
              <w:bottom w:w="0" w:type="dxa"/>
              <w:right w:w="40" w:type="dxa"/>
            </w:tcMar>
            <w:vAlign w:val="center"/>
          </w:tcPr>
          <w:p w14:paraId="059416DF">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660</w:t>
            </w:r>
          </w:p>
        </w:tc>
        <w:tc>
          <w:tcPr>
            <w:tcW w:w="1065" w:type="dxa"/>
            <w:tcBorders>
              <w:top w:val="single" w:color="000000" w:sz="4" w:space="0"/>
              <w:left w:val="single" w:color="000000" w:sz="4" w:space="0"/>
              <w:bottom w:val="single" w:color="000000" w:sz="4" w:space="0"/>
              <w:right w:val="single" w:color="000000" w:sz="4" w:space="0"/>
            </w:tcBorders>
            <w:vAlign w:val="center"/>
          </w:tcPr>
          <w:p w14:paraId="328A7BF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610</w:t>
            </w:r>
          </w:p>
        </w:tc>
        <w:tc>
          <w:tcPr>
            <w:tcW w:w="1035" w:type="dxa"/>
            <w:tcBorders>
              <w:top w:val="single" w:color="000000" w:sz="4" w:space="0"/>
              <w:left w:val="single" w:color="000000" w:sz="4" w:space="0"/>
              <w:bottom w:val="single" w:color="000000" w:sz="4" w:space="0"/>
              <w:right w:val="single" w:color="000000" w:sz="4" w:space="0"/>
            </w:tcBorders>
            <w:vAlign w:val="center"/>
          </w:tcPr>
          <w:p w14:paraId="0A1AC911">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1095" w:type="dxa"/>
            <w:tcBorders>
              <w:top w:val="single" w:color="000000" w:sz="4" w:space="0"/>
              <w:left w:val="single" w:color="000000" w:sz="4" w:space="0"/>
              <w:bottom w:val="single" w:color="000000" w:sz="4" w:space="0"/>
              <w:right w:val="single" w:color="000000" w:sz="4" w:space="0"/>
            </w:tcBorders>
            <w:vAlign w:val="center"/>
          </w:tcPr>
          <w:p w14:paraId="06FCA5CA">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885" w:type="dxa"/>
            <w:tcBorders>
              <w:top w:val="single" w:color="000000" w:sz="4" w:space="0"/>
              <w:left w:val="single" w:color="000000" w:sz="4" w:space="0"/>
              <w:bottom w:val="single" w:color="000000" w:sz="4" w:space="0"/>
              <w:right w:val="single" w:color="000000" w:sz="4" w:space="0"/>
            </w:tcBorders>
            <w:vAlign w:val="center"/>
          </w:tcPr>
          <w:p w14:paraId="1EA25525">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1270</w:t>
            </w:r>
          </w:p>
        </w:tc>
      </w:tr>
      <w:tr w14:paraId="307D6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auto" w:sz="4" w:space="0"/>
              <w:right w:val="single" w:color="000000" w:sz="4" w:space="0"/>
            </w:tcBorders>
            <w:vAlign w:val="center"/>
          </w:tcPr>
          <w:p w14:paraId="2E08610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color w:val="000000"/>
                <w:sz w:val="20"/>
                <w:szCs w:val="20"/>
                <w:lang w:val="en-US"/>
              </w:rPr>
              <w:t>2</w:t>
            </w:r>
          </w:p>
        </w:tc>
        <w:tc>
          <w:tcPr>
            <w:tcW w:w="900" w:type="dxa"/>
            <w:tcBorders>
              <w:top w:val="single" w:color="CCCCCC" w:sz="8" w:space="0"/>
              <w:left w:val="single" w:color="000000" w:sz="8" w:space="0"/>
              <w:bottom w:val="single" w:color="auto" w:sz="4" w:space="0"/>
              <w:right w:val="single" w:color="000000" w:sz="8" w:space="0"/>
            </w:tcBorders>
            <w:shd w:val="clear" w:color="auto" w:fill="FFFFFF"/>
            <w:tcMar>
              <w:top w:w="0" w:type="dxa"/>
              <w:left w:w="40" w:type="dxa"/>
              <w:bottom w:w="0" w:type="dxa"/>
              <w:right w:w="40" w:type="dxa"/>
            </w:tcMar>
            <w:vAlign w:val="center"/>
          </w:tcPr>
          <w:p w14:paraId="50C05C99">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3069044</w:t>
            </w:r>
          </w:p>
        </w:tc>
        <w:tc>
          <w:tcPr>
            <w:tcW w:w="3270" w:type="dxa"/>
            <w:tcBorders>
              <w:top w:val="single" w:color="CCCCCC" w:sz="8" w:space="0"/>
              <w:left w:val="single" w:color="CCCCCC" w:sz="8" w:space="0"/>
              <w:bottom w:val="single" w:color="auto" w:sz="4" w:space="0"/>
              <w:right w:val="single" w:color="000000" w:sz="8" w:space="0"/>
            </w:tcBorders>
            <w:shd w:val="clear" w:color="auto" w:fill="FFFFFF"/>
            <w:tcMar>
              <w:top w:w="0" w:type="dxa"/>
              <w:left w:w="40" w:type="dxa"/>
              <w:bottom w:w="0" w:type="dxa"/>
              <w:right w:w="40" w:type="dxa"/>
            </w:tcMar>
            <w:vAlign w:val="center"/>
          </w:tcPr>
          <w:p w14:paraId="4B717EA7">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 xml:space="preserve">CEFALEXINA </w:t>
            </w:r>
            <w:r>
              <w:rPr>
                <w:rFonts w:eastAsia="Calibri" w:asciiTheme="majorHAnsi" w:hAnsiTheme="majorHAnsi" w:cstheme="majorHAnsi"/>
                <w:sz w:val="20"/>
                <w:szCs w:val="20"/>
                <w:lang w:val="en-US"/>
              </w:rPr>
              <w:t xml:space="preserve">- CONCENTRAÇÃO/DOSAGEM </w:t>
            </w:r>
            <w:r>
              <w:rPr>
                <w:rFonts w:eastAsia="Calibri" w:asciiTheme="majorHAnsi" w:hAnsiTheme="majorHAnsi" w:cstheme="majorHAnsi"/>
                <w:b/>
                <w:sz w:val="20"/>
                <w:szCs w:val="20"/>
                <w:lang w:val="en-US"/>
              </w:rPr>
              <w:t>50 MG/ML</w:t>
            </w:r>
            <w:r>
              <w:rPr>
                <w:rFonts w:eastAsia="Calibri" w:asciiTheme="majorHAnsi" w:hAnsiTheme="majorHAnsi" w:cstheme="majorHAnsi"/>
                <w:sz w:val="20"/>
                <w:szCs w:val="20"/>
                <w:lang w:val="en-US"/>
              </w:rPr>
              <w:t xml:space="preserve">,FORMA FARMACÊUTICA PÓ PARA SUSPENSÃO ORAL,FORMA DE APRESENTAÇÃO FRASCO,VIA DE ADMINISTRAÇÃO ORAL </w:t>
            </w:r>
          </w:p>
        </w:tc>
        <w:tc>
          <w:tcPr>
            <w:tcW w:w="1020" w:type="dxa"/>
            <w:tcBorders>
              <w:top w:val="single" w:color="000000" w:sz="8" w:space="0"/>
              <w:left w:val="single" w:color="CCCCCC" w:sz="8" w:space="0"/>
              <w:bottom w:val="single" w:color="auto" w:sz="4" w:space="0"/>
              <w:right w:val="single" w:color="000000" w:sz="8" w:space="0"/>
            </w:tcBorders>
            <w:tcMar>
              <w:top w:w="0" w:type="dxa"/>
              <w:left w:w="40" w:type="dxa"/>
              <w:bottom w:w="0" w:type="dxa"/>
              <w:right w:w="40" w:type="dxa"/>
            </w:tcMar>
            <w:vAlign w:val="center"/>
          </w:tcPr>
          <w:p w14:paraId="5AE01719">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100</w:t>
            </w:r>
          </w:p>
        </w:tc>
        <w:tc>
          <w:tcPr>
            <w:tcW w:w="1065" w:type="dxa"/>
            <w:tcBorders>
              <w:top w:val="single" w:color="000000" w:sz="4" w:space="0"/>
              <w:left w:val="single" w:color="000000" w:sz="4" w:space="0"/>
              <w:bottom w:val="single" w:color="auto" w:sz="4" w:space="0"/>
              <w:right w:val="single" w:color="000000" w:sz="4" w:space="0"/>
            </w:tcBorders>
            <w:vAlign w:val="center"/>
          </w:tcPr>
          <w:p w14:paraId="71B03C6C">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43</w:t>
            </w:r>
          </w:p>
        </w:tc>
        <w:tc>
          <w:tcPr>
            <w:tcW w:w="1035" w:type="dxa"/>
            <w:tcBorders>
              <w:top w:val="single" w:color="000000" w:sz="4" w:space="0"/>
              <w:left w:val="single" w:color="000000" w:sz="4" w:space="0"/>
              <w:bottom w:val="single" w:color="auto" w:sz="4" w:space="0"/>
              <w:right w:val="single" w:color="000000" w:sz="4" w:space="0"/>
            </w:tcBorders>
            <w:vAlign w:val="center"/>
          </w:tcPr>
          <w:p w14:paraId="157137F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75</w:t>
            </w:r>
          </w:p>
        </w:tc>
        <w:tc>
          <w:tcPr>
            <w:tcW w:w="1095" w:type="dxa"/>
            <w:tcBorders>
              <w:top w:val="single" w:color="000000" w:sz="4" w:space="0"/>
              <w:left w:val="single" w:color="000000" w:sz="4" w:space="0"/>
              <w:bottom w:val="single" w:color="auto" w:sz="4" w:space="0"/>
              <w:right w:val="single" w:color="000000" w:sz="4" w:space="0"/>
            </w:tcBorders>
            <w:vAlign w:val="center"/>
          </w:tcPr>
          <w:p w14:paraId="0252FCBC">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885" w:type="dxa"/>
            <w:tcBorders>
              <w:top w:val="single" w:color="000000" w:sz="4" w:space="0"/>
              <w:left w:val="single" w:color="000000" w:sz="4" w:space="0"/>
              <w:bottom w:val="single" w:color="auto" w:sz="4" w:space="0"/>
              <w:right w:val="single" w:color="000000" w:sz="4" w:space="0"/>
            </w:tcBorders>
            <w:vAlign w:val="center"/>
          </w:tcPr>
          <w:p w14:paraId="1A7726A1">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218</w:t>
            </w:r>
          </w:p>
        </w:tc>
      </w:tr>
      <w:tr w14:paraId="3BA22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auto" w:sz="4" w:space="0"/>
              <w:left w:val="single" w:color="auto" w:sz="4" w:space="0"/>
              <w:bottom w:val="single" w:color="auto" w:sz="4" w:space="0"/>
              <w:right w:val="single" w:color="auto" w:sz="4" w:space="0"/>
            </w:tcBorders>
            <w:vAlign w:val="center"/>
          </w:tcPr>
          <w:p w14:paraId="59A31286">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w:t>
            </w:r>
          </w:p>
        </w:tc>
        <w:tc>
          <w:tcPr>
            <w:tcW w:w="900" w:type="dxa"/>
            <w:tcBorders>
              <w:top w:val="single" w:color="auto" w:sz="4" w:space="0"/>
              <w:left w:val="single" w:color="auto" w:sz="4" w:space="0"/>
              <w:bottom w:val="single" w:color="auto" w:sz="4" w:space="0"/>
              <w:right w:val="single" w:color="auto" w:sz="4" w:space="0"/>
            </w:tcBorders>
            <w:shd w:val="clear" w:color="auto" w:fill="FFFFFF"/>
            <w:tcMar>
              <w:top w:w="0" w:type="dxa"/>
              <w:left w:w="40" w:type="dxa"/>
              <w:bottom w:w="0" w:type="dxa"/>
              <w:right w:w="40" w:type="dxa"/>
            </w:tcMar>
            <w:vAlign w:val="center"/>
          </w:tcPr>
          <w:p w14:paraId="31182704">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3289974</w:t>
            </w:r>
          </w:p>
        </w:tc>
        <w:tc>
          <w:tcPr>
            <w:tcW w:w="3270" w:type="dxa"/>
            <w:tcBorders>
              <w:top w:val="single" w:color="auto" w:sz="4" w:space="0"/>
              <w:left w:val="single" w:color="auto" w:sz="4" w:space="0"/>
              <w:bottom w:val="single" w:color="auto" w:sz="4" w:space="0"/>
              <w:right w:val="single" w:color="auto" w:sz="4" w:space="0"/>
            </w:tcBorders>
            <w:shd w:val="clear" w:color="auto" w:fill="FFFFFF"/>
            <w:tcMar>
              <w:top w:w="0" w:type="dxa"/>
              <w:left w:w="40" w:type="dxa"/>
              <w:bottom w:w="0" w:type="dxa"/>
              <w:right w:w="40" w:type="dxa"/>
            </w:tcMar>
            <w:vAlign w:val="center"/>
          </w:tcPr>
          <w:p w14:paraId="1FA204F3">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DIPIRONA SÓDICA + ESCOPOLAMINA, BUTILBROMETO</w:t>
            </w:r>
            <w:r>
              <w:rPr>
                <w:rFonts w:eastAsia="Calibri" w:asciiTheme="majorHAnsi" w:hAnsiTheme="majorHAnsi" w:cstheme="majorHAnsi"/>
                <w:sz w:val="20"/>
                <w:szCs w:val="20"/>
                <w:lang w:val="en-US"/>
              </w:rPr>
              <w:t>, CONCENTRAÇÃO/DOSAGEM 500MG/ML + 4MG/ML RESPECTIVAMENTE, FORMA FARMACÊUTICA SOLUÇÃO INJETÁVEL, FORMA APRESENTAÇÃO AMPOLA, VIA DE ADMINISTRAÇÃO PARENTERAL</w:t>
            </w:r>
          </w:p>
        </w:tc>
        <w:tc>
          <w:tcPr>
            <w:tcW w:w="1020" w:type="dxa"/>
            <w:tcBorders>
              <w:top w:val="single" w:color="auto" w:sz="4" w:space="0"/>
              <w:left w:val="single" w:color="auto" w:sz="4" w:space="0"/>
              <w:bottom w:val="single" w:color="auto" w:sz="4" w:space="0"/>
              <w:right w:val="single" w:color="auto" w:sz="4" w:space="0"/>
            </w:tcBorders>
            <w:tcMar>
              <w:top w:w="0" w:type="dxa"/>
              <w:left w:w="40" w:type="dxa"/>
              <w:bottom w:w="0" w:type="dxa"/>
              <w:right w:w="40" w:type="dxa"/>
            </w:tcMar>
            <w:vAlign w:val="center"/>
          </w:tcPr>
          <w:p w14:paraId="2646FCC1">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8750</w:t>
            </w:r>
          </w:p>
        </w:tc>
        <w:tc>
          <w:tcPr>
            <w:tcW w:w="1065" w:type="dxa"/>
            <w:tcBorders>
              <w:top w:val="single" w:color="auto" w:sz="4" w:space="0"/>
              <w:left w:val="single" w:color="auto" w:sz="4" w:space="0"/>
              <w:bottom w:val="single" w:color="auto" w:sz="4" w:space="0"/>
              <w:right w:val="single" w:color="auto" w:sz="4" w:space="0"/>
            </w:tcBorders>
            <w:vAlign w:val="center"/>
          </w:tcPr>
          <w:p w14:paraId="2BB0BD15">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1035" w:type="dxa"/>
            <w:tcBorders>
              <w:top w:val="single" w:color="auto" w:sz="4" w:space="0"/>
              <w:left w:val="single" w:color="auto" w:sz="4" w:space="0"/>
              <w:bottom w:val="single" w:color="auto" w:sz="4" w:space="0"/>
              <w:right w:val="single" w:color="auto" w:sz="4" w:space="0"/>
            </w:tcBorders>
            <w:vAlign w:val="center"/>
          </w:tcPr>
          <w:p w14:paraId="6D6EAFA3">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4434</w:t>
            </w:r>
          </w:p>
        </w:tc>
        <w:tc>
          <w:tcPr>
            <w:tcW w:w="1095" w:type="dxa"/>
            <w:tcBorders>
              <w:top w:val="single" w:color="auto" w:sz="4" w:space="0"/>
              <w:left w:val="single" w:color="auto" w:sz="4" w:space="0"/>
              <w:bottom w:val="single" w:color="auto" w:sz="4" w:space="0"/>
              <w:right w:val="single" w:color="auto" w:sz="4" w:space="0"/>
            </w:tcBorders>
            <w:vAlign w:val="center"/>
          </w:tcPr>
          <w:p w14:paraId="59223D9C">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885" w:type="dxa"/>
            <w:tcBorders>
              <w:top w:val="single" w:color="auto" w:sz="4" w:space="0"/>
              <w:left w:val="single" w:color="auto" w:sz="4" w:space="0"/>
              <w:bottom w:val="single" w:color="auto" w:sz="4" w:space="0"/>
              <w:right w:val="single" w:color="auto" w:sz="4" w:space="0"/>
            </w:tcBorders>
            <w:vAlign w:val="center"/>
          </w:tcPr>
          <w:p w14:paraId="40A9F7A9">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13184</w:t>
            </w:r>
          </w:p>
        </w:tc>
      </w:tr>
      <w:tr w14:paraId="6B92F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auto" w:sz="4" w:space="0"/>
              <w:left w:val="single" w:color="000000" w:sz="4" w:space="0"/>
              <w:bottom w:val="single" w:color="000000" w:sz="4" w:space="0"/>
              <w:right w:val="single" w:color="000000" w:sz="4" w:space="0"/>
            </w:tcBorders>
            <w:vAlign w:val="center"/>
          </w:tcPr>
          <w:p w14:paraId="7D0DC7EF">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4</w:t>
            </w:r>
          </w:p>
        </w:tc>
        <w:tc>
          <w:tcPr>
            <w:tcW w:w="900" w:type="dxa"/>
            <w:tcBorders>
              <w:top w:val="single" w:color="auto" w:sz="4"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3865AC7">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3090540</w:t>
            </w:r>
          </w:p>
        </w:tc>
        <w:tc>
          <w:tcPr>
            <w:tcW w:w="3270" w:type="dxa"/>
            <w:tcBorders>
              <w:top w:val="single" w:color="auto" w:sz="4"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304AC051">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GLICERINA</w:t>
            </w:r>
            <w:r>
              <w:rPr>
                <w:rFonts w:eastAsia="Calibri" w:asciiTheme="majorHAnsi" w:hAnsiTheme="majorHAnsi" w:cstheme="majorHAnsi"/>
                <w:sz w:val="20"/>
                <w:szCs w:val="20"/>
                <w:lang w:val="en-US"/>
              </w:rPr>
              <w:t xml:space="preserve"> - CONCENTRAÇÃO/DOSAGEM </w:t>
            </w:r>
            <w:r>
              <w:rPr>
                <w:rFonts w:eastAsia="Calibri" w:asciiTheme="majorHAnsi" w:hAnsiTheme="majorHAnsi" w:cstheme="majorHAnsi"/>
                <w:b/>
                <w:sz w:val="20"/>
                <w:szCs w:val="20"/>
                <w:lang w:val="en-US"/>
              </w:rPr>
              <w:t>120 MG/ML</w:t>
            </w:r>
            <w:r>
              <w:rPr>
                <w:rFonts w:eastAsia="Calibri" w:asciiTheme="majorHAnsi" w:hAnsiTheme="majorHAnsi" w:cstheme="majorHAnsi"/>
                <w:sz w:val="20"/>
                <w:szCs w:val="20"/>
                <w:lang w:val="en-US"/>
              </w:rPr>
              <w:t xml:space="preserve">,FORMA FARMACÊUTICA SOLUÇÃO RETAL,FORMA DE APRESENTAÇÃO BOLSA OU FRASCO,VIA DE ADMINISTRAÇÃO RETAL </w:t>
            </w:r>
          </w:p>
        </w:tc>
        <w:tc>
          <w:tcPr>
            <w:tcW w:w="1020" w:type="dxa"/>
            <w:tcBorders>
              <w:top w:val="single" w:color="auto" w:sz="4" w:space="0"/>
              <w:left w:val="single" w:color="CCCCCC" w:sz="8" w:space="0"/>
              <w:bottom w:val="single" w:color="000000" w:sz="8" w:space="0"/>
              <w:right w:val="single" w:color="000000" w:sz="8" w:space="0"/>
            </w:tcBorders>
            <w:tcMar>
              <w:top w:w="0" w:type="dxa"/>
              <w:left w:w="40" w:type="dxa"/>
              <w:bottom w:w="0" w:type="dxa"/>
              <w:right w:w="40" w:type="dxa"/>
            </w:tcMar>
            <w:vAlign w:val="center"/>
          </w:tcPr>
          <w:p w14:paraId="1CD0565B">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240</w:t>
            </w:r>
          </w:p>
        </w:tc>
        <w:tc>
          <w:tcPr>
            <w:tcW w:w="1065" w:type="dxa"/>
            <w:tcBorders>
              <w:top w:val="single" w:color="auto" w:sz="4" w:space="0"/>
              <w:left w:val="single" w:color="000000" w:sz="4" w:space="0"/>
              <w:bottom w:val="single" w:color="000000" w:sz="4" w:space="0"/>
              <w:right w:val="single" w:color="000000" w:sz="4" w:space="0"/>
            </w:tcBorders>
            <w:vAlign w:val="center"/>
          </w:tcPr>
          <w:p w14:paraId="48146B6B">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367</w:t>
            </w:r>
          </w:p>
        </w:tc>
        <w:tc>
          <w:tcPr>
            <w:tcW w:w="1035" w:type="dxa"/>
            <w:tcBorders>
              <w:top w:val="single" w:color="auto" w:sz="4" w:space="0"/>
              <w:left w:val="single" w:color="000000" w:sz="4" w:space="0"/>
              <w:bottom w:val="single" w:color="000000" w:sz="4" w:space="0"/>
              <w:right w:val="single" w:color="000000" w:sz="4" w:space="0"/>
            </w:tcBorders>
            <w:vAlign w:val="center"/>
          </w:tcPr>
          <w:p w14:paraId="5D68975F">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1948</w:t>
            </w:r>
          </w:p>
        </w:tc>
        <w:tc>
          <w:tcPr>
            <w:tcW w:w="1095" w:type="dxa"/>
            <w:tcBorders>
              <w:top w:val="single" w:color="auto" w:sz="4" w:space="0"/>
              <w:left w:val="single" w:color="000000" w:sz="4" w:space="0"/>
              <w:bottom w:val="single" w:color="000000" w:sz="4" w:space="0"/>
              <w:right w:val="single" w:color="000000" w:sz="4" w:space="0"/>
            </w:tcBorders>
            <w:vAlign w:val="center"/>
          </w:tcPr>
          <w:p w14:paraId="1E2EB582">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351</w:t>
            </w:r>
          </w:p>
        </w:tc>
        <w:tc>
          <w:tcPr>
            <w:tcW w:w="885" w:type="dxa"/>
            <w:tcBorders>
              <w:top w:val="single" w:color="auto" w:sz="4" w:space="0"/>
              <w:left w:val="single" w:color="000000" w:sz="4" w:space="0"/>
              <w:bottom w:val="single" w:color="000000" w:sz="4" w:space="0"/>
              <w:right w:val="single" w:color="000000" w:sz="4" w:space="0"/>
            </w:tcBorders>
            <w:vAlign w:val="center"/>
          </w:tcPr>
          <w:p w14:paraId="5A4FEC11">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2906</w:t>
            </w:r>
          </w:p>
        </w:tc>
      </w:tr>
      <w:tr w14:paraId="1CAD7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000000" w:sz="4" w:space="0"/>
              <w:right w:val="single" w:color="000000" w:sz="4" w:space="0"/>
            </w:tcBorders>
            <w:vAlign w:val="center"/>
          </w:tcPr>
          <w:p w14:paraId="13A309F4">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5</w:t>
            </w:r>
          </w:p>
        </w:tc>
        <w:tc>
          <w:tcPr>
            <w:tcW w:w="900"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880B933">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3181685</w:t>
            </w:r>
          </w:p>
        </w:tc>
        <w:tc>
          <w:tcPr>
            <w:tcW w:w="3270"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1F06FD0">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 xml:space="preserve">HALOPERIDOL </w:t>
            </w:r>
            <w:r>
              <w:rPr>
                <w:rFonts w:eastAsia="Calibri" w:asciiTheme="majorHAnsi" w:hAnsiTheme="majorHAnsi" w:cstheme="majorHAnsi"/>
                <w:sz w:val="20"/>
                <w:szCs w:val="20"/>
                <w:lang w:val="en-US"/>
              </w:rPr>
              <w:t xml:space="preserve">- CONCENTRAÇÃO/DOSAGEM </w:t>
            </w:r>
            <w:r>
              <w:rPr>
                <w:rFonts w:eastAsia="Calibri" w:asciiTheme="majorHAnsi" w:hAnsiTheme="majorHAnsi" w:cstheme="majorHAnsi"/>
                <w:b/>
                <w:sz w:val="20"/>
                <w:szCs w:val="20"/>
                <w:lang w:val="en-US"/>
              </w:rPr>
              <w:t>5 MG,</w:t>
            </w:r>
            <w:r>
              <w:rPr>
                <w:rFonts w:eastAsia="Calibri" w:asciiTheme="majorHAnsi" w:hAnsiTheme="majorHAnsi" w:cstheme="majorHAnsi"/>
                <w:sz w:val="20"/>
                <w:szCs w:val="20"/>
                <w:lang w:val="en-US"/>
              </w:rPr>
              <w:t xml:space="preserve">FORMA FARMACEUTICA </w:t>
            </w:r>
            <w:r>
              <w:rPr>
                <w:rFonts w:eastAsia="Calibri" w:asciiTheme="majorHAnsi" w:hAnsiTheme="majorHAnsi" w:cstheme="majorHAnsi"/>
                <w:b/>
                <w:sz w:val="20"/>
                <w:szCs w:val="20"/>
                <w:lang w:val="en-US"/>
              </w:rPr>
              <w:t>COMPRIMIDO</w:t>
            </w:r>
            <w:r>
              <w:rPr>
                <w:rFonts w:eastAsia="Calibri" w:asciiTheme="majorHAnsi" w:hAnsiTheme="majorHAnsi" w:cstheme="majorHAnsi"/>
                <w:sz w:val="20"/>
                <w:szCs w:val="20"/>
                <w:lang w:val="en-US"/>
              </w:rPr>
              <w:t>,VIA DE ADMINISTRAÇÃO ORAL</w:t>
            </w:r>
          </w:p>
        </w:tc>
        <w:tc>
          <w:tcPr>
            <w:tcW w:w="1020" w:type="dxa"/>
            <w:tcBorders>
              <w:top w:val="single" w:color="000000" w:sz="8" w:space="0"/>
              <w:left w:val="single" w:color="CCCCCC" w:sz="8" w:space="0"/>
              <w:bottom w:val="single" w:color="000000" w:sz="8" w:space="0"/>
              <w:right w:val="single" w:color="000000" w:sz="8" w:space="0"/>
            </w:tcBorders>
            <w:tcMar>
              <w:top w:w="0" w:type="dxa"/>
              <w:left w:w="40" w:type="dxa"/>
              <w:bottom w:w="0" w:type="dxa"/>
              <w:right w:w="40" w:type="dxa"/>
            </w:tcMar>
            <w:vAlign w:val="center"/>
          </w:tcPr>
          <w:p w14:paraId="369B4A2F">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225</w:t>
            </w:r>
          </w:p>
        </w:tc>
        <w:tc>
          <w:tcPr>
            <w:tcW w:w="1065" w:type="dxa"/>
            <w:tcBorders>
              <w:top w:val="single" w:color="000000" w:sz="4" w:space="0"/>
              <w:left w:val="single" w:color="000000" w:sz="4" w:space="0"/>
              <w:bottom w:val="single" w:color="000000" w:sz="4" w:space="0"/>
              <w:right w:val="single" w:color="000000" w:sz="4" w:space="0"/>
            </w:tcBorders>
            <w:vAlign w:val="center"/>
          </w:tcPr>
          <w:p w14:paraId="6B83BA3C">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3120</w:t>
            </w:r>
          </w:p>
        </w:tc>
        <w:tc>
          <w:tcPr>
            <w:tcW w:w="1035" w:type="dxa"/>
            <w:tcBorders>
              <w:top w:val="single" w:color="000000" w:sz="4" w:space="0"/>
              <w:left w:val="single" w:color="000000" w:sz="4" w:space="0"/>
              <w:bottom w:val="single" w:color="000000" w:sz="4" w:space="0"/>
              <w:right w:val="single" w:color="000000" w:sz="4" w:space="0"/>
            </w:tcBorders>
            <w:vAlign w:val="center"/>
          </w:tcPr>
          <w:p w14:paraId="514EC9D9">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7200</w:t>
            </w:r>
          </w:p>
        </w:tc>
        <w:tc>
          <w:tcPr>
            <w:tcW w:w="1095" w:type="dxa"/>
            <w:tcBorders>
              <w:top w:val="single" w:color="000000" w:sz="4" w:space="0"/>
              <w:left w:val="single" w:color="000000" w:sz="4" w:space="0"/>
              <w:bottom w:val="single" w:color="000000" w:sz="4" w:space="0"/>
              <w:right w:val="single" w:color="000000" w:sz="4" w:space="0"/>
            </w:tcBorders>
            <w:vAlign w:val="center"/>
          </w:tcPr>
          <w:p w14:paraId="41940BD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224</w:t>
            </w:r>
          </w:p>
        </w:tc>
        <w:tc>
          <w:tcPr>
            <w:tcW w:w="885" w:type="dxa"/>
            <w:tcBorders>
              <w:top w:val="single" w:color="000000" w:sz="4" w:space="0"/>
              <w:left w:val="single" w:color="000000" w:sz="4" w:space="0"/>
              <w:bottom w:val="single" w:color="000000" w:sz="4" w:space="0"/>
              <w:right w:val="single" w:color="000000" w:sz="4" w:space="0"/>
            </w:tcBorders>
            <w:vAlign w:val="center"/>
          </w:tcPr>
          <w:p w14:paraId="07867BA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10769</w:t>
            </w:r>
          </w:p>
        </w:tc>
      </w:tr>
      <w:tr w14:paraId="225E3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000000" w:sz="4" w:space="0"/>
              <w:right w:val="single" w:color="000000" w:sz="4" w:space="0"/>
            </w:tcBorders>
            <w:vAlign w:val="center"/>
          </w:tcPr>
          <w:p w14:paraId="449EE2BB">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6</w:t>
            </w:r>
          </w:p>
        </w:tc>
        <w:tc>
          <w:tcPr>
            <w:tcW w:w="900"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2350C37F">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3088260</w:t>
            </w:r>
          </w:p>
        </w:tc>
        <w:tc>
          <w:tcPr>
            <w:tcW w:w="3270"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84F28A7">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 xml:space="preserve">MEROPENEM </w:t>
            </w:r>
            <w:r>
              <w:rPr>
                <w:rFonts w:eastAsia="Calibri" w:asciiTheme="majorHAnsi" w:hAnsiTheme="majorHAnsi" w:cstheme="majorHAnsi"/>
                <w:sz w:val="20"/>
                <w:szCs w:val="20"/>
                <w:lang w:val="en-US"/>
              </w:rPr>
              <w:t xml:space="preserve">- CONCENTRAÇÃO/DOSAGEM </w:t>
            </w:r>
            <w:r>
              <w:rPr>
                <w:rFonts w:eastAsia="Calibri" w:asciiTheme="majorHAnsi" w:hAnsiTheme="majorHAnsi" w:cstheme="majorHAnsi"/>
                <w:b/>
                <w:sz w:val="20"/>
                <w:szCs w:val="20"/>
                <w:lang w:val="en-US"/>
              </w:rPr>
              <w:t>500 MG,</w:t>
            </w:r>
            <w:r>
              <w:rPr>
                <w:rFonts w:eastAsia="Calibri" w:asciiTheme="majorHAnsi" w:hAnsiTheme="majorHAnsi" w:cstheme="majorHAnsi"/>
                <w:sz w:val="20"/>
                <w:szCs w:val="20"/>
                <w:lang w:val="en-US"/>
              </w:rPr>
              <w:t xml:space="preserve">FORMA FARMACÊUTICA PO PARA SOLUÇÃO INJETÁVEL, FORMA DE APRESENTAÇÃO FRASCO-AMPOLA, VIA DE ADMINISTRAÇÃO INTRAVENOSA </w:t>
            </w:r>
          </w:p>
        </w:tc>
        <w:tc>
          <w:tcPr>
            <w:tcW w:w="1020" w:type="dxa"/>
            <w:tcBorders>
              <w:top w:val="single" w:color="000000" w:sz="8" w:space="0"/>
              <w:left w:val="single" w:color="CCCCCC" w:sz="8" w:space="0"/>
              <w:bottom w:val="single" w:color="000000" w:sz="8" w:space="0"/>
              <w:right w:val="single" w:color="000000" w:sz="8" w:space="0"/>
            </w:tcBorders>
            <w:tcMar>
              <w:top w:w="0" w:type="dxa"/>
              <w:left w:w="40" w:type="dxa"/>
              <w:bottom w:w="0" w:type="dxa"/>
              <w:right w:w="40" w:type="dxa"/>
            </w:tcMar>
            <w:vAlign w:val="center"/>
          </w:tcPr>
          <w:p w14:paraId="686F131D">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950</w:t>
            </w:r>
          </w:p>
        </w:tc>
        <w:tc>
          <w:tcPr>
            <w:tcW w:w="1065" w:type="dxa"/>
            <w:tcBorders>
              <w:top w:val="single" w:color="000000" w:sz="4" w:space="0"/>
              <w:left w:val="single" w:color="000000" w:sz="4" w:space="0"/>
              <w:bottom w:val="single" w:color="000000" w:sz="4" w:space="0"/>
              <w:right w:val="single" w:color="000000" w:sz="4" w:space="0"/>
            </w:tcBorders>
            <w:vAlign w:val="center"/>
          </w:tcPr>
          <w:p w14:paraId="01EC4060">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1035" w:type="dxa"/>
            <w:tcBorders>
              <w:top w:val="single" w:color="000000" w:sz="4" w:space="0"/>
              <w:left w:val="single" w:color="000000" w:sz="4" w:space="0"/>
              <w:bottom w:val="single" w:color="000000" w:sz="4" w:space="0"/>
              <w:right w:val="single" w:color="000000" w:sz="4" w:space="0"/>
            </w:tcBorders>
            <w:vAlign w:val="center"/>
          </w:tcPr>
          <w:p w14:paraId="228ACC01">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1095" w:type="dxa"/>
            <w:tcBorders>
              <w:top w:val="single" w:color="000000" w:sz="4" w:space="0"/>
              <w:left w:val="single" w:color="000000" w:sz="4" w:space="0"/>
              <w:bottom w:val="single" w:color="000000" w:sz="4" w:space="0"/>
              <w:right w:val="single" w:color="000000" w:sz="4" w:space="0"/>
            </w:tcBorders>
            <w:vAlign w:val="center"/>
          </w:tcPr>
          <w:p w14:paraId="0F9B087F">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885" w:type="dxa"/>
            <w:tcBorders>
              <w:top w:val="single" w:color="000000" w:sz="4" w:space="0"/>
              <w:left w:val="single" w:color="000000" w:sz="4" w:space="0"/>
              <w:bottom w:val="single" w:color="000000" w:sz="4" w:space="0"/>
              <w:right w:val="single" w:color="000000" w:sz="4" w:space="0"/>
            </w:tcBorders>
            <w:vAlign w:val="center"/>
          </w:tcPr>
          <w:p w14:paraId="5F594EA3">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950</w:t>
            </w:r>
          </w:p>
        </w:tc>
      </w:tr>
      <w:tr w14:paraId="2933D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000000" w:sz="4" w:space="0"/>
              <w:right w:val="single" w:color="000000" w:sz="4" w:space="0"/>
            </w:tcBorders>
            <w:vAlign w:val="center"/>
          </w:tcPr>
          <w:p w14:paraId="09F80E1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7</w:t>
            </w:r>
          </w:p>
        </w:tc>
        <w:tc>
          <w:tcPr>
            <w:tcW w:w="900"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1BC4A562">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3183548</w:t>
            </w:r>
          </w:p>
        </w:tc>
        <w:tc>
          <w:tcPr>
            <w:tcW w:w="3270"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A822895">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METOPROLOL,</w:t>
            </w:r>
            <w:r>
              <w:rPr>
                <w:rFonts w:eastAsia="Calibri" w:asciiTheme="majorHAnsi" w:hAnsiTheme="majorHAnsi" w:cstheme="majorHAnsi"/>
                <w:sz w:val="20"/>
                <w:szCs w:val="20"/>
                <w:lang w:val="en-US"/>
              </w:rPr>
              <w:t xml:space="preserve"> TARTARATO - CONCENTRAÇÃO/DOSAGEM </w:t>
            </w:r>
            <w:r>
              <w:rPr>
                <w:rFonts w:eastAsia="Calibri" w:asciiTheme="majorHAnsi" w:hAnsiTheme="majorHAnsi" w:cstheme="majorHAnsi"/>
                <w:b/>
                <w:sz w:val="20"/>
                <w:szCs w:val="20"/>
                <w:lang w:val="en-US"/>
              </w:rPr>
              <w:t>1 MG/ML,</w:t>
            </w:r>
            <w:r>
              <w:rPr>
                <w:rFonts w:eastAsia="Calibri" w:asciiTheme="majorHAnsi" w:hAnsiTheme="majorHAnsi" w:cstheme="majorHAnsi"/>
                <w:sz w:val="20"/>
                <w:szCs w:val="20"/>
                <w:lang w:val="en-US"/>
              </w:rPr>
              <w:t>FORMA FARMACÊUTICA SOLUÇÃO INJETÁVEL,FORMA DE APRESENTAÇÃO AMPOLA,VIA DE ADMINISTRAÇÃO INTRAVENOSA</w:t>
            </w:r>
          </w:p>
        </w:tc>
        <w:tc>
          <w:tcPr>
            <w:tcW w:w="1020" w:type="dxa"/>
            <w:tcBorders>
              <w:top w:val="single" w:color="000000" w:sz="8" w:space="0"/>
              <w:left w:val="single" w:color="CCCCCC" w:sz="8" w:space="0"/>
              <w:bottom w:val="single" w:color="000000" w:sz="8" w:space="0"/>
              <w:right w:val="single" w:color="000000" w:sz="8" w:space="0"/>
            </w:tcBorders>
            <w:tcMar>
              <w:top w:w="0" w:type="dxa"/>
              <w:left w:w="40" w:type="dxa"/>
              <w:bottom w:w="0" w:type="dxa"/>
              <w:right w:w="40" w:type="dxa"/>
            </w:tcMar>
            <w:vAlign w:val="center"/>
          </w:tcPr>
          <w:p w14:paraId="31C71D51">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218</w:t>
            </w:r>
          </w:p>
        </w:tc>
        <w:tc>
          <w:tcPr>
            <w:tcW w:w="1065" w:type="dxa"/>
            <w:tcBorders>
              <w:top w:val="single" w:color="000000" w:sz="4" w:space="0"/>
              <w:left w:val="single" w:color="000000" w:sz="4" w:space="0"/>
              <w:bottom w:val="single" w:color="000000" w:sz="4" w:space="0"/>
              <w:right w:val="single" w:color="000000" w:sz="4" w:space="0"/>
            </w:tcBorders>
            <w:vAlign w:val="center"/>
          </w:tcPr>
          <w:p w14:paraId="157CD677">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261</w:t>
            </w:r>
          </w:p>
        </w:tc>
        <w:tc>
          <w:tcPr>
            <w:tcW w:w="1035" w:type="dxa"/>
            <w:tcBorders>
              <w:top w:val="single" w:color="000000" w:sz="4" w:space="0"/>
              <w:left w:val="single" w:color="000000" w:sz="4" w:space="0"/>
              <w:bottom w:val="single" w:color="000000" w:sz="4" w:space="0"/>
              <w:right w:val="single" w:color="000000" w:sz="4" w:space="0"/>
            </w:tcBorders>
            <w:vAlign w:val="center"/>
          </w:tcPr>
          <w:p w14:paraId="58B29C06">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1095" w:type="dxa"/>
            <w:tcBorders>
              <w:top w:val="single" w:color="000000" w:sz="4" w:space="0"/>
              <w:left w:val="single" w:color="000000" w:sz="4" w:space="0"/>
              <w:bottom w:val="single" w:color="000000" w:sz="4" w:space="0"/>
              <w:right w:val="single" w:color="000000" w:sz="4" w:space="0"/>
            </w:tcBorders>
            <w:vAlign w:val="center"/>
          </w:tcPr>
          <w:p w14:paraId="151DE908">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1077</w:t>
            </w:r>
          </w:p>
        </w:tc>
        <w:tc>
          <w:tcPr>
            <w:tcW w:w="885" w:type="dxa"/>
            <w:tcBorders>
              <w:top w:val="single" w:color="000000" w:sz="4" w:space="0"/>
              <w:left w:val="single" w:color="000000" w:sz="4" w:space="0"/>
              <w:bottom w:val="single" w:color="000000" w:sz="4" w:space="0"/>
              <w:right w:val="single" w:color="000000" w:sz="4" w:space="0"/>
            </w:tcBorders>
            <w:vAlign w:val="center"/>
          </w:tcPr>
          <w:p w14:paraId="7CB7951B">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1556</w:t>
            </w:r>
          </w:p>
        </w:tc>
      </w:tr>
      <w:tr w14:paraId="7CB28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000000" w:sz="4" w:space="0"/>
              <w:right w:val="single" w:color="000000" w:sz="4" w:space="0"/>
            </w:tcBorders>
            <w:vAlign w:val="center"/>
          </w:tcPr>
          <w:p w14:paraId="37C8A3B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8</w:t>
            </w:r>
          </w:p>
        </w:tc>
        <w:tc>
          <w:tcPr>
            <w:tcW w:w="900"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FDFC401">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3085384</w:t>
            </w:r>
          </w:p>
        </w:tc>
        <w:tc>
          <w:tcPr>
            <w:tcW w:w="3270"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56CB087E">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MISOPROSTOL</w:t>
            </w:r>
            <w:r>
              <w:rPr>
                <w:rFonts w:eastAsia="Calibri" w:asciiTheme="majorHAnsi" w:hAnsiTheme="majorHAnsi" w:cstheme="majorHAnsi"/>
                <w:sz w:val="20"/>
                <w:szCs w:val="20"/>
                <w:lang w:val="en-US"/>
              </w:rPr>
              <w:t xml:space="preserve"> - CONCENTRAÇÃO/DOSAGEM DE </w:t>
            </w:r>
            <w:r>
              <w:rPr>
                <w:rFonts w:eastAsia="Calibri" w:asciiTheme="majorHAnsi" w:hAnsiTheme="majorHAnsi" w:cstheme="majorHAnsi"/>
                <w:b/>
                <w:sz w:val="20"/>
                <w:szCs w:val="20"/>
                <w:lang w:val="en-US"/>
              </w:rPr>
              <w:t>200MCG</w:t>
            </w:r>
            <w:r>
              <w:rPr>
                <w:rFonts w:eastAsia="Calibri" w:asciiTheme="majorHAnsi" w:hAnsiTheme="majorHAnsi" w:cstheme="majorHAnsi"/>
                <w:sz w:val="20"/>
                <w:szCs w:val="20"/>
                <w:lang w:val="en-US"/>
              </w:rPr>
              <w:t>, FORMA FARMACEUTICA COMP, VIA DE ADMINISTRAÇÃO VAGINAL</w:t>
            </w:r>
          </w:p>
        </w:tc>
        <w:tc>
          <w:tcPr>
            <w:tcW w:w="1020" w:type="dxa"/>
            <w:tcBorders>
              <w:top w:val="single" w:color="000000" w:sz="8" w:space="0"/>
              <w:left w:val="single" w:color="CCCCCC" w:sz="8" w:space="0"/>
              <w:bottom w:val="single" w:color="000000" w:sz="8" w:space="0"/>
              <w:right w:val="single" w:color="000000" w:sz="8" w:space="0"/>
            </w:tcBorders>
            <w:tcMar>
              <w:top w:w="0" w:type="dxa"/>
              <w:left w:w="40" w:type="dxa"/>
              <w:bottom w:w="0" w:type="dxa"/>
              <w:right w:w="40" w:type="dxa"/>
            </w:tcMar>
            <w:vAlign w:val="center"/>
          </w:tcPr>
          <w:p w14:paraId="07522288">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5788</w:t>
            </w:r>
          </w:p>
        </w:tc>
        <w:tc>
          <w:tcPr>
            <w:tcW w:w="1065" w:type="dxa"/>
            <w:tcBorders>
              <w:top w:val="single" w:color="000000" w:sz="4" w:space="0"/>
              <w:left w:val="single" w:color="000000" w:sz="4" w:space="0"/>
              <w:bottom w:val="single" w:color="000000" w:sz="4" w:space="0"/>
              <w:right w:val="single" w:color="000000" w:sz="4" w:space="0"/>
            </w:tcBorders>
            <w:vAlign w:val="center"/>
          </w:tcPr>
          <w:p w14:paraId="3C9E5D73">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3180</w:t>
            </w:r>
          </w:p>
        </w:tc>
        <w:tc>
          <w:tcPr>
            <w:tcW w:w="1035" w:type="dxa"/>
            <w:tcBorders>
              <w:top w:val="single" w:color="000000" w:sz="4" w:space="0"/>
              <w:left w:val="single" w:color="000000" w:sz="4" w:space="0"/>
              <w:bottom w:val="single" w:color="000000" w:sz="4" w:space="0"/>
              <w:right w:val="single" w:color="000000" w:sz="4" w:space="0"/>
            </w:tcBorders>
            <w:vAlign w:val="center"/>
          </w:tcPr>
          <w:p w14:paraId="2CD3464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1095" w:type="dxa"/>
            <w:tcBorders>
              <w:top w:val="single" w:color="000000" w:sz="4" w:space="0"/>
              <w:left w:val="single" w:color="000000" w:sz="4" w:space="0"/>
              <w:bottom w:val="single" w:color="000000" w:sz="4" w:space="0"/>
              <w:right w:val="single" w:color="000000" w:sz="4" w:space="0"/>
            </w:tcBorders>
            <w:vAlign w:val="center"/>
          </w:tcPr>
          <w:p w14:paraId="1664AD8C">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885" w:type="dxa"/>
            <w:tcBorders>
              <w:top w:val="single" w:color="000000" w:sz="4" w:space="0"/>
              <w:left w:val="single" w:color="000000" w:sz="4" w:space="0"/>
              <w:bottom w:val="single" w:color="000000" w:sz="4" w:space="0"/>
              <w:right w:val="single" w:color="000000" w:sz="4" w:space="0"/>
            </w:tcBorders>
            <w:vAlign w:val="center"/>
          </w:tcPr>
          <w:p w14:paraId="7CADB451">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8968</w:t>
            </w:r>
          </w:p>
        </w:tc>
      </w:tr>
      <w:tr w14:paraId="113BA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000000" w:sz="4" w:space="0"/>
              <w:right w:val="single" w:color="000000" w:sz="4" w:space="0"/>
            </w:tcBorders>
            <w:vAlign w:val="center"/>
          </w:tcPr>
          <w:p w14:paraId="60E4913C">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9</w:t>
            </w:r>
          </w:p>
        </w:tc>
        <w:tc>
          <w:tcPr>
            <w:tcW w:w="900"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2657A1B6">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3169103</w:t>
            </w:r>
          </w:p>
        </w:tc>
        <w:tc>
          <w:tcPr>
            <w:tcW w:w="3270"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7FA53EAB">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 xml:space="preserve">MORFINA, SULFATO </w:t>
            </w:r>
            <w:r>
              <w:rPr>
                <w:rFonts w:eastAsia="Calibri" w:asciiTheme="majorHAnsi" w:hAnsiTheme="majorHAnsi" w:cstheme="majorHAnsi"/>
                <w:sz w:val="20"/>
                <w:szCs w:val="20"/>
                <w:lang w:val="en-US"/>
              </w:rPr>
              <w:t>- CONCENTRAÇÃO/DOSAGEM</w:t>
            </w:r>
            <w:r>
              <w:rPr>
                <w:rFonts w:eastAsia="Calibri" w:asciiTheme="majorHAnsi" w:hAnsiTheme="majorHAnsi" w:cstheme="majorHAnsi"/>
                <w:b/>
                <w:sz w:val="20"/>
                <w:szCs w:val="20"/>
                <w:lang w:val="en-US"/>
              </w:rPr>
              <w:t xml:space="preserve"> 0,2 MG/ML</w:t>
            </w:r>
            <w:r>
              <w:rPr>
                <w:rFonts w:eastAsia="Calibri" w:asciiTheme="majorHAnsi" w:hAnsiTheme="majorHAnsi" w:cstheme="majorHAnsi"/>
                <w:sz w:val="20"/>
                <w:szCs w:val="20"/>
                <w:lang w:val="en-US"/>
              </w:rPr>
              <w:t>,FORMA FARMACEUTICA SOLUÇÃO INJETÁVEL,FORMA DE APRESENTAÇÃO AMPOLA,VIA DE ADMINISTRAÇÃO PARENTERAL, PERIDURAL OU INTRATECAL</w:t>
            </w:r>
          </w:p>
        </w:tc>
        <w:tc>
          <w:tcPr>
            <w:tcW w:w="1020" w:type="dxa"/>
            <w:tcBorders>
              <w:top w:val="single" w:color="000000" w:sz="8" w:space="0"/>
              <w:left w:val="single" w:color="CCCCCC" w:sz="8" w:space="0"/>
              <w:bottom w:val="single" w:color="000000" w:sz="8" w:space="0"/>
              <w:right w:val="single" w:color="000000" w:sz="8" w:space="0"/>
            </w:tcBorders>
            <w:tcMar>
              <w:top w:w="0" w:type="dxa"/>
              <w:left w:w="40" w:type="dxa"/>
              <w:bottom w:w="0" w:type="dxa"/>
              <w:right w:w="40" w:type="dxa"/>
            </w:tcMar>
            <w:vAlign w:val="center"/>
          </w:tcPr>
          <w:p w14:paraId="38C044C0">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3063</w:t>
            </w:r>
          </w:p>
        </w:tc>
        <w:tc>
          <w:tcPr>
            <w:tcW w:w="1065" w:type="dxa"/>
            <w:tcBorders>
              <w:top w:val="single" w:color="000000" w:sz="4" w:space="0"/>
              <w:left w:val="single" w:color="000000" w:sz="4" w:space="0"/>
              <w:bottom w:val="single" w:color="000000" w:sz="4" w:space="0"/>
              <w:right w:val="single" w:color="000000" w:sz="4" w:space="0"/>
            </w:tcBorders>
            <w:vAlign w:val="center"/>
          </w:tcPr>
          <w:p w14:paraId="0C8C1F9B">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3250</w:t>
            </w:r>
          </w:p>
        </w:tc>
        <w:tc>
          <w:tcPr>
            <w:tcW w:w="1035" w:type="dxa"/>
            <w:tcBorders>
              <w:top w:val="single" w:color="000000" w:sz="4" w:space="0"/>
              <w:left w:val="single" w:color="000000" w:sz="4" w:space="0"/>
              <w:bottom w:val="single" w:color="000000" w:sz="4" w:space="0"/>
              <w:right w:val="single" w:color="000000" w:sz="4" w:space="0"/>
            </w:tcBorders>
            <w:vAlign w:val="center"/>
          </w:tcPr>
          <w:p w14:paraId="4C70C885">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3300</w:t>
            </w:r>
          </w:p>
        </w:tc>
        <w:tc>
          <w:tcPr>
            <w:tcW w:w="1095" w:type="dxa"/>
            <w:tcBorders>
              <w:top w:val="single" w:color="000000" w:sz="4" w:space="0"/>
              <w:left w:val="single" w:color="000000" w:sz="4" w:space="0"/>
              <w:bottom w:val="single" w:color="000000" w:sz="4" w:space="0"/>
              <w:right w:val="single" w:color="000000" w:sz="4" w:space="0"/>
            </w:tcBorders>
            <w:vAlign w:val="center"/>
          </w:tcPr>
          <w:p w14:paraId="2274B757">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885" w:type="dxa"/>
            <w:tcBorders>
              <w:top w:val="single" w:color="000000" w:sz="4" w:space="0"/>
              <w:left w:val="single" w:color="000000" w:sz="4" w:space="0"/>
              <w:bottom w:val="single" w:color="000000" w:sz="4" w:space="0"/>
              <w:right w:val="single" w:color="000000" w:sz="4" w:space="0"/>
            </w:tcBorders>
            <w:vAlign w:val="center"/>
          </w:tcPr>
          <w:p w14:paraId="2787848F">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9613</w:t>
            </w:r>
          </w:p>
        </w:tc>
      </w:tr>
      <w:tr w14:paraId="74487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000000" w:sz="4" w:space="0"/>
              <w:left w:val="single" w:color="000000" w:sz="4" w:space="0"/>
              <w:bottom w:val="single" w:color="auto" w:sz="4" w:space="0"/>
              <w:right w:val="single" w:color="000000" w:sz="4" w:space="0"/>
            </w:tcBorders>
            <w:vAlign w:val="center"/>
          </w:tcPr>
          <w:p w14:paraId="2135AF39">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10</w:t>
            </w:r>
          </w:p>
        </w:tc>
        <w:tc>
          <w:tcPr>
            <w:tcW w:w="900" w:type="dxa"/>
            <w:tcBorders>
              <w:top w:val="single" w:color="CCCCCC" w:sz="8" w:space="0"/>
              <w:left w:val="single" w:color="000000" w:sz="8" w:space="0"/>
              <w:bottom w:val="single" w:color="auto" w:sz="4" w:space="0"/>
              <w:right w:val="single" w:color="000000" w:sz="8" w:space="0"/>
            </w:tcBorders>
            <w:shd w:val="clear" w:color="auto" w:fill="FFFFFF"/>
            <w:tcMar>
              <w:top w:w="0" w:type="dxa"/>
              <w:left w:w="40" w:type="dxa"/>
              <w:bottom w:w="0" w:type="dxa"/>
              <w:right w:w="40" w:type="dxa"/>
            </w:tcMar>
            <w:vAlign w:val="center"/>
          </w:tcPr>
          <w:p w14:paraId="77800480">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3085554</w:t>
            </w:r>
          </w:p>
        </w:tc>
        <w:tc>
          <w:tcPr>
            <w:tcW w:w="3270" w:type="dxa"/>
            <w:tcBorders>
              <w:top w:val="single" w:color="CCCCCC" w:sz="8" w:space="0"/>
              <w:left w:val="single" w:color="CCCCCC" w:sz="8" w:space="0"/>
              <w:bottom w:val="single" w:color="auto" w:sz="4" w:space="0"/>
              <w:right w:val="single" w:color="000000" w:sz="8" w:space="0"/>
            </w:tcBorders>
            <w:shd w:val="clear" w:color="auto" w:fill="FFFFFF"/>
            <w:tcMar>
              <w:top w:w="0" w:type="dxa"/>
              <w:left w:w="40" w:type="dxa"/>
              <w:bottom w:w="0" w:type="dxa"/>
              <w:right w:w="40" w:type="dxa"/>
            </w:tcMar>
            <w:vAlign w:val="center"/>
          </w:tcPr>
          <w:p w14:paraId="2287E4D8">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NEOSTIGMINA, METILSULFATO</w:t>
            </w:r>
            <w:r>
              <w:rPr>
                <w:rFonts w:eastAsia="Calibri" w:asciiTheme="majorHAnsi" w:hAnsiTheme="majorHAnsi" w:cstheme="majorHAnsi"/>
                <w:sz w:val="20"/>
                <w:szCs w:val="20"/>
                <w:lang w:val="en-US"/>
              </w:rPr>
              <w:t xml:space="preserve"> - CONCENTRAÇÃO/DOSAGEM </w:t>
            </w:r>
            <w:r>
              <w:rPr>
                <w:rFonts w:eastAsia="Calibri" w:asciiTheme="majorHAnsi" w:hAnsiTheme="majorHAnsi" w:cstheme="majorHAnsi"/>
                <w:b/>
                <w:sz w:val="20"/>
                <w:szCs w:val="20"/>
                <w:lang w:val="en-US"/>
              </w:rPr>
              <w:t>0,5 MG/ML,</w:t>
            </w:r>
            <w:r>
              <w:rPr>
                <w:rFonts w:eastAsia="Calibri" w:asciiTheme="majorHAnsi" w:hAnsiTheme="majorHAnsi" w:cstheme="majorHAnsi"/>
                <w:sz w:val="20"/>
                <w:szCs w:val="20"/>
                <w:lang w:val="en-US"/>
              </w:rPr>
              <w:t>FORMA FARMACÊUTICA SOLUÇÃO INJETAVEL,FORMA DE APRESENTAÇÃO AMPOLA,VIA DE ADMINISTRAÇÃO PARENTERAL</w:t>
            </w:r>
          </w:p>
        </w:tc>
        <w:tc>
          <w:tcPr>
            <w:tcW w:w="1020" w:type="dxa"/>
            <w:tcBorders>
              <w:top w:val="single" w:color="000000" w:sz="8" w:space="0"/>
              <w:left w:val="single" w:color="CCCCCC" w:sz="8" w:space="0"/>
              <w:bottom w:val="single" w:color="auto" w:sz="4" w:space="0"/>
              <w:right w:val="single" w:color="000000" w:sz="8" w:space="0"/>
            </w:tcBorders>
            <w:tcMar>
              <w:top w:w="0" w:type="dxa"/>
              <w:left w:w="40" w:type="dxa"/>
              <w:bottom w:w="0" w:type="dxa"/>
              <w:right w:w="40" w:type="dxa"/>
            </w:tcMar>
            <w:vAlign w:val="center"/>
          </w:tcPr>
          <w:p w14:paraId="14DF6931">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455</w:t>
            </w:r>
          </w:p>
        </w:tc>
        <w:tc>
          <w:tcPr>
            <w:tcW w:w="1065" w:type="dxa"/>
            <w:tcBorders>
              <w:top w:val="single" w:color="000000" w:sz="4" w:space="0"/>
              <w:left w:val="single" w:color="000000" w:sz="4" w:space="0"/>
              <w:bottom w:val="single" w:color="auto" w:sz="4" w:space="0"/>
              <w:right w:val="single" w:color="000000" w:sz="4" w:space="0"/>
            </w:tcBorders>
            <w:vAlign w:val="center"/>
          </w:tcPr>
          <w:p w14:paraId="5B2D4F24">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4559</w:t>
            </w:r>
          </w:p>
        </w:tc>
        <w:tc>
          <w:tcPr>
            <w:tcW w:w="1035" w:type="dxa"/>
            <w:tcBorders>
              <w:top w:val="single" w:color="000000" w:sz="4" w:space="0"/>
              <w:left w:val="single" w:color="000000" w:sz="4" w:space="0"/>
              <w:bottom w:val="single" w:color="auto" w:sz="4" w:space="0"/>
              <w:right w:val="single" w:color="000000" w:sz="4" w:space="0"/>
            </w:tcBorders>
            <w:vAlign w:val="center"/>
          </w:tcPr>
          <w:p w14:paraId="1FB7EFC3">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3200</w:t>
            </w:r>
          </w:p>
        </w:tc>
        <w:tc>
          <w:tcPr>
            <w:tcW w:w="1095" w:type="dxa"/>
            <w:tcBorders>
              <w:top w:val="single" w:color="000000" w:sz="4" w:space="0"/>
              <w:left w:val="single" w:color="000000" w:sz="4" w:space="0"/>
              <w:bottom w:val="single" w:color="auto" w:sz="4" w:space="0"/>
              <w:right w:val="single" w:color="000000" w:sz="4" w:space="0"/>
            </w:tcBorders>
            <w:vAlign w:val="center"/>
          </w:tcPr>
          <w:p w14:paraId="50FC8DF2">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291</w:t>
            </w:r>
          </w:p>
        </w:tc>
        <w:tc>
          <w:tcPr>
            <w:tcW w:w="885" w:type="dxa"/>
            <w:tcBorders>
              <w:top w:val="single" w:color="000000" w:sz="4" w:space="0"/>
              <w:left w:val="single" w:color="000000" w:sz="4" w:space="0"/>
              <w:bottom w:val="single" w:color="auto" w:sz="4" w:space="0"/>
              <w:right w:val="single" w:color="000000" w:sz="4" w:space="0"/>
            </w:tcBorders>
            <w:vAlign w:val="center"/>
          </w:tcPr>
          <w:p w14:paraId="5874FBF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8505</w:t>
            </w:r>
          </w:p>
        </w:tc>
      </w:tr>
      <w:tr w14:paraId="0CC94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45" w:type="dxa"/>
            <w:tcBorders>
              <w:top w:val="single" w:color="auto" w:sz="4" w:space="0"/>
              <w:left w:val="single" w:color="auto" w:sz="4" w:space="0"/>
              <w:bottom w:val="single" w:color="auto" w:sz="4" w:space="0"/>
              <w:right w:val="single" w:color="auto" w:sz="4" w:space="0"/>
            </w:tcBorders>
            <w:vAlign w:val="center"/>
          </w:tcPr>
          <w:p w14:paraId="4D98D73D">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11</w:t>
            </w:r>
          </w:p>
        </w:tc>
        <w:tc>
          <w:tcPr>
            <w:tcW w:w="900" w:type="dxa"/>
            <w:tcBorders>
              <w:top w:val="single" w:color="auto" w:sz="4" w:space="0"/>
              <w:left w:val="single" w:color="auto" w:sz="4" w:space="0"/>
              <w:bottom w:val="single" w:color="auto" w:sz="4" w:space="0"/>
              <w:right w:val="single" w:color="auto" w:sz="4" w:space="0"/>
            </w:tcBorders>
            <w:shd w:val="clear" w:color="auto" w:fill="FFFFFF"/>
            <w:tcMar>
              <w:top w:w="0" w:type="dxa"/>
              <w:left w:w="40" w:type="dxa"/>
              <w:bottom w:w="0" w:type="dxa"/>
              <w:right w:w="40" w:type="dxa"/>
            </w:tcMar>
            <w:vAlign w:val="center"/>
          </w:tcPr>
          <w:p w14:paraId="329C47D0">
            <w:pPr>
              <w:widowControl w:val="0"/>
              <w:autoSpaceDE w:val="0"/>
              <w:autoSpaceDN w:val="0"/>
              <w:spacing w:after="0" w:line="276" w:lineRule="auto"/>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3088731</w:t>
            </w:r>
          </w:p>
        </w:tc>
        <w:tc>
          <w:tcPr>
            <w:tcW w:w="3270" w:type="dxa"/>
            <w:tcBorders>
              <w:top w:val="single" w:color="auto" w:sz="4" w:space="0"/>
              <w:left w:val="single" w:color="auto" w:sz="4" w:space="0"/>
              <w:bottom w:val="single" w:color="auto" w:sz="4" w:space="0"/>
              <w:right w:val="single" w:color="auto" w:sz="4" w:space="0"/>
            </w:tcBorders>
            <w:shd w:val="clear" w:color="auto" w:fill="FFFFFF"/>
            <w:tcMar>
              <w:top w:w="0" w:type="dxa"/>
              <w:left w:w="40" w:type="dxa"/>
              <w:bottom w:w="0" w:type="dxa"/>
              <w:right w:w="40" w:type="dxa"/>
            </w:tcMar>
            <w:vAlign w:val="center"/>
          </w:tcPr>
          <w:p w14:paraId="37AABC4B">
            <w:pPr>
              <w:widowControl w:val="0"/>
              <w:autoSpaceDE w:val="0"/>
              <w:autoSpaceDN w:val="0"/>
              <w:spacing w:after="0" w:line="276" w:lineRule="auto"/>
              <w:rPr>
                <w:rFonts w:eastAsia="Calibri" w:asciiTheme="majorHAnsi" w:hAnsiTheme="majorHAnsi" w:cstheme="majorHAnsi"/>
                <w:sz w:val="20"/>
                <w:szCs w:val="20"/>
                <w:lang w:val="en-US"/>
              </w:rPr>
            </w:pPr>
            <w:r>
              <w:rPr>
                <w:rFonts w:eastAsia="Calibri" w:asciiTheme="majorHAnsi" w:hAnsiTheme="majorHAnsi" w:cstheme="majorHAnsi"/>
                <w:b/>
                <w:sz w:val="20"/>
                <w:szCs w:val="20"/>
                <w:lang w:val="en-US"/>
              </w:rPr>
              <w:t xml:space="preserve">OXACILINA SÓDICA </w:t>
            </w:r>
            <w:r>
              <w:rPr>
                <w:rFonts w:eastAsia="Calibri" w:asciiTheme="majorHAnsi" w:hAnsiTheme="majorHAnsi" w:cstheme="majorHAnsi"/>
                <w:sz w:val="20"/>
                <w:szCs w:val="20"/>
                <w:lang w:val="en-US"/>
              </w:rPr>
              <w:t xml:space="preserve">- CONCENTRAÇÃO/DOSAGEM </w:t>
            </w:r>
            <w:r>
              <w:rPr>
                <w:rFonts w:eastAsia="Calibri" w:asciiTheme="majorHAnsi" w:hAnsiTheme="majorHAnsi" w:cstheme="majorHAnsi"/>
                <w:b/>
                <w:sz w:val="20"/>
                <w:szCs w:val="20"/>
                <w:lang w:val="en-US"/>
              </w:rPr>
              <w:t>500 MG,</w:t>
            </w:r>
            <w:r>
              <w:rPr>
                <w:rFonts w:eastAsia="Calibri" w:asciiTheme="majorHAnsi" w:hAnsiTheme="majorHAnsi" w:cstheme="majorHAnsi"/>
                <w:sz w:val="20"/>
                <w:szCs w:val="20"/>
                <w:lang w:val="en-US"/>
              </w:rPr>
              <w:t>FORMA FARMACEUTICA PÓ PARA SOLUÇÃO INJETÁVEL,FORMA DE APRESENTAÇÃO FRASCO-AMPOLA,VIA DE ADMINISTRAÇÃO PARENTERAL</w:t>
            </w:r>
          </w:p>
        </w:tc>
        <w:tc>
          <w:tcPr>
            <w:tcW w:w="1020" w:type="dxa"/>
            <w:tcBorders>
              <w:top w:val="single" w:color="auto" w:sz="4" w:space="0"/>
              <w:left w:val="single" w:color="auto" w:sz="4" w:space="0"/>
              <w:bottom w:val="single" w:color="auto" w:sz="4" w:space="0"/>
              <w:right w:val="single" w:color="auto" w:sz="4" w:space="0"/>
            </w:tcBorders>
            <w:tcMar>
              <w:top w:w="0" w:type="dxa"/>
              <w:left w:w="40" w:type="dxa"/>
              <w:bottom w:w="0" w:type="dxa"/>
              <w:right w:w="40" w:type="dxa"/>
            </w:tcMar>
            <w:vAlign w:val="center"/>
          </w:tcPr>
          <w:p w14:paraId="6A553072">
            <w:pPr>
              <w:widowControl w:val="0"/>
              <w:tabs>
                <w:tab w:val="left" w:pos="567"/>
                <w:tab w:val="left" w:pos="993"/>
              </w:tabs>
              <w:autoSpaceDE w:val="0"/>
              <w:autoSpaceDN w:val="0"/>
              <w:spacing w:before="240" w:after="240" w:line="240" w:lineRule="auto"/>
              <w:ind w:left="-60"/>
              <w:jc w:val="center"/>
              <w:rPr>
                <w:rFonts w:eastAsia="Calibri" w:asciiTheme="majorHAnsi" w:hAnsiTheme="majorHAnsi" w:cstheme="majorHAnsi"/>
                <w:sz w:val="20"/>
                <w:szCs w:val="20"/>
                <w:lang w:val="en-US"/>
              </w:rPr>
            </w:pPr>
            <w:r>
              <w:rPr>
                <w:rFonts w:eastAsia="Calibri" w:asciiTheme="majorHAnsi" w:hAnsiTheme="majorHAnsi" w:cstheme="majorHAnsi"/>
                <w:sz w:val="20"/>
                <w:szCs w:val="20"/>
                <w:lang w:val="en-US"/>
              </w:rPr>
              <w:t>1035</w:t>
            </w:r>
          </w:p>
        </w:tc>
        <w:tc>
          <w:tcPr>
            <w:tcW w:w="1065" w:type="dxa"/>
            <w:tcBorders>
              <w:top w:val="single" w:color="auto" w:sz="4" w:space="0"/>
              <w:left w:val="single" w:color="auto" w:sz="4" w:space="0"/>
              <w:bottom w:val="single" w:color="auto" w:sz="4" w:space="0"/>
              <w:right w:val="single" w:color="auto" w:sz="4" w:space="0"/>
            </w:tcBorders>
            <w:vAlign w:val="center"/>
          </w:tcPr>
          <w:p w14:paraId="2614F69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11154</w:t>
            </w:r>
          </w:p>
        </w:tc>
        <w:tc>
          <w:tcPr>
            <w:tcW w:w="1035" w:type="dxa"/>
            <w:tcBorders>
              <w:top w:val="single" w:color="auto" w:sz="4" w:space="0"/>
              <w:left w:val="single" w:color="auto" w:sz="4" w:space="0"/>
              <w:bottom w:val="single" w:color="auto" w:sz="4" w:space="0"/>
              <w:right w:val="single" w:color="auto" w:sz="4" w:space="0"/>
            </w:tcBorders>
            <w:vAlign w:val="center"/>
          </w:tcPr>
          <w:p w14:paraId="19D860C9">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24710</w:t>
            </w:r>
          </w:p>
        </w:tc>
        <w:tc>
          <w:tcPr>
            <w:tcW w:w="1095" w:type="dxa"/>
            <w:tcBorders>
              <w:top w:val="single" w:color="auto" w:sz="4" w:space="0"/>
              <w:left w:val="single" w:color="auto" w:sz="4" w:space="0"/>
              <w:bottom w:val="single" w:color="auto" w:sz="4" w:space="0"/>
              <w:right w:val="single" w:color="auto" w:sz="4" w:space="0"/>
            </w:tcBorders>
            <w:vAlign w:val="center"/>
          </w:tcPr>
          <w:p w14:paraId="03E92B9E">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0</w:t>
            </w:r>
          </w:p>
        </w:tc>
        <w:tc>
          <w:tcPr>
            <w:tcW w:w="885" w:type="dxa"/>
            <w:tcBorders>
              <w:top w:val="single" w:color="auto" w:sz="4" w:space="0"/>
              <w:left w:val="single" w:color="auto" w:sz="4" w:space="0"/>
              <w:bottom w:val="single" w:color="auto" w:sz="4" w:space="0"/>
              <w:right w:val="single" w:color="auto" w:sz="4" w:space="0"/>
            </w:tcBorders>
            <w:vAlign w:val="center"/>
          </w:tcPr>
          <w:p w14:paraId="2F4ED2FA">
            <w:pPr>
              <w:widowControl/>
              <w:pBdr>
                <w:top w:val="none" w:color="auto" w:sz="0" w:space="0"/>
                <w:left w:val="none" w:color="auto" w:sz="0" w:space="0"/>
                <w:bottom w:val="none" w:color="auto" w:sz="0" w:space="0"/>
                <w:right w:val="none" w:color="auto" w:sz="0" w:space="0"/>
                <w:between w:val="none" w:color="auto" w:sz="0" w:space="0"/>
              </w:pBdr>
              <w:tabs>
                <w:tab w:val="left" w:pos="567"/>
                <w:tab w:val="left" w:pos="993"/>
              </w:tabs>
              <w:autoSpaceDE w:val="0"/>
              <w:autoSpaceDN w:val="0"/>
              <w:spacing w:before="120" w:after="160" w:line="259" w:lineRule="auto"/>
              <w:jc w:val="center"/>
              <w:rPr>
                <w:rFonts w:eastAsia="Calibri" w:asciiTheme="majorHAnsi" w:hAnsiTheme="majorHAnsi" w:cstheme="majorHAnsi"/>
                <w:color w:val="000000"/>
                <w:sz w:val="20"/>
                <w:szCs w:val="20"/>
                <w:lang w:val="en-US"/>
              </w:rPr>
            </w:pPr>
            <w:r>
              <w:rPr>
                <w:rFonts w:eastAsia="Calibri" w:asciiTheme="majorHAnsi" w:hAnsiTheme="majorHAnsi" w:cstheme="majorHAnsi"/>
                <w:sz w:val="20"/>
                <w:szCs w:val="20"/>
                <w:lang w:val="en-US"/>
              </w:rPr>
              <w:t>36899</w:t>
            </w:r>
          </w:p>
        </w:tc>
      </w:tr>
    </w:tbl>
    <w:p w14:paraId="3268EC14">
      <w:p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720"/>
        <w:jc w:val="both"/>
        <w:rPr>
          <w:rFonts w:eastAsia="Times New Roman" w:asciiTheme="majorHAnsi" w:hAnsiTheme="majorHAnsi" w:cstheme="majorHAnsi"/>
          <w:color w:val="000000"/>
          <w:sz w:val="20"/>
          <w:szCs w:val="20"/>
        </w:rPr>
      </w:pPr>
    </w:p>
    <w:p w14:paraId="66F6F367">
      <w:pPr>
        <w:numPr>
          <w:ilvl w:val="1"/>
          <w:numId w:val="23"/>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PRAZO PARA ASSINATURA DA ATA DE REGISTRO DE PREÇOS</w:t>
      </w:r>
    </w:p>
    <w:p w14:paraId="2515E621">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426"/>
          <w:tab w:val="left" w:pos="567"/>
          <w:tab w:val="left" w:pos="993"/>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Após a homologação do resultado desta licitação, a adjudicatária será convocada para assinar a Ata de Registro de Preços, no prazo de </w:t>
      </w:r>
      <w:r>
        <w:rPr>
          <w:rFonts w:eastAsia="Times New Roman" w:asciiTheme="majorHAnsi" w:hAnsiTheme="majorHAnsi" w:cstheme="majorHAnsi"/>
          <w:b/>
          <w:color w:val="000000"/>
          <w:sz w:val="20"/>
          <w:szCs w:val="20"/>
        </w:rPr>
        <w:t>05 (cinco)</w:t>
      </w:r>
      <w:r>
        <w:rPr>
          <w:rFonts w:eastAsia="Times New Roman" w:asciiTheme="majorHAnsi" w:hAnsiTheme="majorHAnsi" w:cstheme="majorHAnsi"/>
          <w:color w:val="000000"/>
          <w:sz w:val="20"/>
          <w:szCs w:val="20"/>
        </w:rPr>
        <w:t xml:space="preserve"> </w:t>
      </w:r>
      <w:r>
        <w:rPr>
          <w:rFonts w:eastAsia="Times New Roman" w:asciiTheme="majorHAnsi" w:hAnsiTheme="majorHAnsi" w:cstheme="majorHAnsi"/>
          <w:b/>
          <w:color w:val="000000"/>
          <w:sz w:val="20"/>
          <w:szCs w:val="20"/>
        </w:rPr>
        <w:t>dias úteis</w:t>
      </w:r>
      <w:r>
        <w:rPr>
          <w:rFonts w:eastAsia="Times New Roman" w:asciiTheme="majorHAnsi" w:hAnsiTheme="majorHAnsi" w:cstheme="majorHAnsi"/>
          <w:color w:val="000000"/>
          <w:sz w:val="20"/>
          <w:szCs w:val="20"/>
        </w:rPr>
        <w:t>, contados da convocação, sob pena de decair o direito à contratação.</w:t>
      </w:r>
    </w:p>
    <w:p w14:paraId="717A3100">
      <w:pPr>
        <w:pBdr>
          <w:top w:val="none" w:color="auto" w:sz="0" w:space="0"/>
          <w:left w:val="none" w:color="auto" w:sz="0" w:space="0"/>
          <w:bottom w:val="none" w:color="auto" w:sz="0" w:space="0"/>
          <w:right w:val="none" w:color="auto" w:sz="0" w:space="0"/>
          <w:between w:val="none" w:color="auto" w:sz="0" w:space="0"/>
        </w:pBdr>
        <w:tabs>
          <w:tab w:val="left" w:pos="426"/>
          <w:tab w:val="left" w:pos="567"/>
          <w:tab w:val="left" w:pos="993"/>
        </w:tabs>
        <w:spacing w:before="120" w:after="0" w:line="240" w:lineRule="auto"/>
        <w:jc w:val="both"/>
        <w:rPr>
          <w:rFonts w:eastAsia="Times New Roman" w:asciiTheme="majorHAnsi" w:hAnsiTheme="majorHAnsi" w:cstheme="majorHAnsi"/>
          <w:color w:val="000000"/>
          <w:sz w:val="20"/>
          <w:szCs w:val="20"/>
        </w:rPr>
      </w:pPr>
    </w:p>
    <w:p w14:paraId="3F7D5813">
      <w:pPr>
        <w:numPr>
          <w:ilvl w:val="1"/>
          <w:numId w:val="23"/>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PRAZO DE VIGÊNCIA DA ATA DE REGISTRO DE PREÇOS E SUA POSSIBILIDADE DE PRORROGAÇÃO</w:t>
      </w:r>
    </w:p>
    <w:p w14:paraId="1B5B75E1">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 prazo de vigência da ata será de 1 (um) ano, contado da data de sua assinatura, podendo ser prorrogado por igual período, facultada a renovação dos quantitativos previstos, inclusive para fins de adesão por não participantes, desde que seja comprovada a vantajosidade dos preços registrados.</w:t>
      </w:r>
    </w:p>
    <w:p w14:paraId="4FEF0A60">
      <w:pPr>
        <w:pBdr>
          <w:top w:val="none" w:color="auto" w:sz="0" w:space="0"/>
          <w:left w:val="none" w:color="auto" w:sz="0" w:space="0"/>
          <w:bottom w:val="none" w:color="auto" w:sz="0" w:space="0"/>
          <w:right w:val="none" w:color="auto" w:sz="0" w:space="0"/>
          <w:between w:val="none" w:color="auto" w:sz="0" w:space="0"/>
        </w:pBdr>
        <w:tabs>
          <w:tab w:val="left" w:pos="567"/>
        </w:tabs>
        <w:spacing w:after="0"/>
        <w:jc w:val="both"/>
        <w:rPr>
          <w:rFonts w:eastAsia="Times New Roman" w:asciiTheme="majorHAnsi" w:hAnsiTheme="majorHAnsi" w:cstheme="majorHAnsi"/>
          <w:color w:val="000000"/>
          <w:sz w:val="20"/>
          <w:szCs w:val="20"/>
        </w:rPr>
      </w:pPr>
    </w:p>
    <w:p w14:paraId="5C20A3D5">
      <w:pPr>
        <w:numPr>
          <w:ilvl w:val="1"/>
          <w:numId w:val="23"/>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PREVISÃO E JUSTIFICATIVA DA POSSIBILIDADE DE ADESÃO POR ÓRGÃOS E ENTIDADES NÃO PARTICIPANTES E CONDIÇÕES DE ADESÃO</w:t>
      </w:r>
    </w:p>
    <w:p w14:paraId="79D8EAF7">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Será permitida a adesão por órgãos não participantes à Ata de Registro de preços oriunda deste Termo de Referência.</w:t>
      </w:r>
    </w:p>
    <w:p w14:paraId="0BE638A9">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possíveis solicitações de adesão deverão ser encaminhadas à gerenciadora da ata de registro de preços, para a respectiva autorização, através dos seguintes meios:</w:t>
      </w:r>
    </w:p>
    <w:p w14:paraId="2C6AB1A0">
      <w:p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Telefone: (81) 3182-7707</w:t>
      </w:r>
    </w:p>
    <w:p w14:paraId="5BC646C9">
      <w:pPr>
        <w:pBdr>
          <w:top w:val="none" w:color="auto" w:sz="0" w:space="0"/>
          <w:left w:val="none" w:color="auto" w:sz="0" w:space="0"/>
          <w:bottom w:val="none" w:color="auto" w:sz="0" w:space="0"/>
          <w:right w:val="none" w:color="auto" w:sz="0" w:space="0"/>
          <w:between w:val="none" w:color="auto" w:sz="0" w:space="0"/>
        </w:pBdr>
        <w:tabs>
          <w:tab w:val="left" w:pos="567"/>
          <w:tab w:val="left" w:pos="3348"/>
        </w:tabs>
        <w:spacing w:before="120" w:after="0" w:line="240" w:lineRule="auto"/>
        <w:jc w:val="both"/>
        <w:rPr>
          <w:rFonts w:eastAsia="Times New Roman" w:asciiTheme="majorHAnsi" w:hAnsiTheme="majorHAnsi" w:cstheme="majorHAnsi"/>
          <w:color w:val="0000FF"/>
          <w:sz w:val="20"/>
          <w:szCs w:val="20"/>
          <w:u w:val="single"/>
        </w:rPr>
      </w:pPr>
      <w:r>
        <w:rPr>
          <w:rFonts w:eastAsia="Times New Roman" w:asciiTheme="majorHAnsi" w:hAnsiTheme="majorHAnsi" w:cstheme="majorHAnsi"/>
          <w:color w:val="000000"/>
          <w:sz w:val="20"/>
          <w:szCs w:val="20"/>
        </w:rPr>
        <w:t xml:space="preserve">E-mail: </w:t>
      </w:r>
      <w:r>
        <w:fldChar w:fldCharType="begin"/>
      </w:r>
      <w:r>
        <w:instrText xml:space="preserve"> HYPERLINK "mailto:gestaoata.cisam@upe.br" \h </w:instrText>
      </w:r>
      <w:r>
        <w:fldChar w:fldCharType="separate"/>
      </w:r>
      <w:r>
        <w:rPr>
          <w:rFonts w:eastAsia="Times New Roman" w:asciiTheme="majorHAnsi" w:hAnsiTheme="majorHAnsi" w:cstheme="majorHAnsi"/>
          <w:color w:val="0000FF"/>
          <w:sz w:val="20"/>
          <w:szCs w:val="20"/>
          <w:u w:val="single"/>
        </w:rPr>
        <w:t>gestaoata.cisam@upe.br</w:t>
      </w:r>
      <w:r>
        <w:rPr>
          <w:rFonts w:eastAsia="Times New Roman" w:asciiTheme="majorHAnsi" w:hAnsiTheme="majorHAnsi" w:cstheme="majorHAnsi"/>
          <w:color w:val="0000FF"/>
          <w:sz w:val="20"/>
          <w:szCs w:val="20"/>
          <w:u w:val="single"/>
        </w:rPr>
        <w:fldChar w:fldCharType="end"/>
      </w:r>
    </w:p>
    <w:p w14:paraId="2E353482">
      <w:pPr>
        <w:pBdr>
          <w:top w:val="none" w:color="auto" w:sz="0" w:space="0"/>
          <w:left w:val="none" w:color="auto" w:sz="0" w:space="0"/>
          <w:bottom w:val="none" w:color="auto" w:sz="0" w:space="0"/>
          <w:right w:val="none" w:color="auto" w:sz="0" w:space="0"/>
          <w:between w:val="none" w:color="auto" w:sz="0" w:space="0"/>
        </w:pBdr>
        <w:tabs>
          <w:tab w:val="left" w:pos="567"/>
          <w:tab w:val="left" w:pos="3348"/>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Sistema PE-INTEGRADO (vide item 6.6.3.)</w:t>
      </w:r>
    </w:p>
    <w:p w14:paraId="1E664FB8">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 Quando o órgão/entidade for usuário do PE-Integrado, torna-se necessário que as solicitações sejam encaminhadas à gerenciadora da ata de registro de preços através do sistema citado, módulo adesão, devendo ser inclusos todos os documentos necessários à aprovação.</w:t>
      </w:r>
    </w:p>
    <w:p w14:paraId="14AA420C">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condições para utilização da ata de registro de preços por órgãos não participantes serão dispostas em item específico da minuta da ata de registro de preços do presente processo.</w:t>
      </w:r>
    </w:p>
    <w:p w14:paraId="67AFD6FD">
      <w:p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jc w:val="both"/>
        <w:rPr>
          <w:rFonts w:eastAsia="Times New Roman" w:asciiTheme="majorHAnsi" w:hAnsiTheme="majorHAnsi" w:cstheme="majorHAnsi"/>
          <w:color w:val="000000"/>
          <w:sz w:val="20"/>
          <w:szCs w:val="20"/>
        </w:rPr>
      </w:pPr>
    </w:p>
    <w:p w14:paraId="03A7A189">
      <w:pPr>
        <w:numPr>
          <w:ilvl w:val="1"/>
          <w:numId w:val="23"/>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color w:val="000000"/>
          <w:sz w:val="20"/>
          <w:szCs w:val="20"/>
          <w:u w:val="single"/>
        </w:rPr>
      </w:pPr>
      <w:r>
        <w:rPr>
          <w:rFonts w:eastAsia="Times New Roman" w:asciiTheme="majorHAnsi" w:hAnsiTheme="majorHAnsi" w:cstheme="majorHAnsi"/>
          <w:b/>
          <w:color w:val="000000"/>
          <w:sz w:val="20"/>
          <w:szCs w:val="20"/>
        </w:rPr>
        <w:t xml:space="preserve">OBRIGAÇÕES E RESPONSABILIDADES DA GERENCIADORA DA ATA </w:t>
      </w:r>
    </w:p>
    <w:p w14:paraId="2F7C7743">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 w:val="left" w:pos="709"/>
        </w:tabs>
        <w:spacing w:before="120" w:after="0" w:line="240" w:lineRule="auto"/>
        <w:ind w:left="0" w:firstLine="0"/>
        <w:jc w:val="both"/>
        <w:rPr>
          <w:rFonts w:eastAsia="Times New Roman" w:asciiTheme="majorHAnsi" w:hAnsiTheme="majorHAnsi" w:cstheme="majorHAnsi"/>
          <w:color w:val="FF0000"/>
          <w:sz w:val="20"/>
          <w:szCs w:val="20"/>
        </w:rPr>
      </w:pPr>
      <w:r>
        <w:rPr>
          <w:rFonts w:eastAsia="Times New Roman" w:asciiTheme="majorHAnsi" w:hAnsiTheme="majorHAnsi" w:cstheme="majorHAnsi"/>
          <w:color w:val="000000"/>
          <w:sz w:val="20"/>
          <w:szCs w:val="20"/>
        </w:rPr>
        <w:t>As obrigações do órgão gerenciador da ata de registro de preços serão dispostas em item específico da minuta da ata de registro de preços do presente processo.</w:t>
      </w:r>
    </w:p>
    <w:p w14:paraId="53BAB36C">
      <w:pPr>
        <w:pBdr>
          <w:top w:val="none" w:color="auto" w:sz="0" w:space="0"/>
          <w:left w:val="none" w:color="auto" w:sz="0" w:space="0"/>
          <w:bottom w:val="none" w:color="auto" w:sz="0" w:space="0"/>
          <w:right w:val="none" w:color="auto" w:sz="0" w:space="0"/>
          <w:between w:val="none" w:color="auto" w:sz="0" w:space="0"/>
        </w:pBdr>
        <w:tabs>
          <w:tab w:val="left" w:pos="567"/>
          <w:tab w:val="left" w:pos="709"/>
        </w:tabs>
        <w:spacing w:before="120" w:after="0" w:line="240" w:lineRule="auto"/>
        <w:jc w:val="both"/>
        <w:rPr>
          <w:rFonts w:eastAsia="Times New Roman" w:asciiTheme="majorHAnsi" w:hAnsiTheme="majorHAnsi" w:cstheme="majorHAnsi"/>
          <w:color w:val="FF0000"/>
          <w:sz w:val="20"/>
          <w:szCs w:val="20"/>
        </w:rPr>
      </w:pPr>
    </w:p>
    <w:p w14:paraId="340A4B31">
      <w:pPr>
        <w:numPr>
          <w:ilvl w:val="1"/>
          <w:numId w:val="23"/>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OBRIGAÇÕES E RESPONSABILIDADES DA DETENTORA DA ATA</w:t>
      </w:r>
    </w:p>
    <w:p w14:paraId="2BFE7760">
      <w:pPr>
        <w:numPr>
          <w:ilvl w:val="2"/>
          <w:numId w:val="23"/>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0" w:firstLine="0"/>
        <w:jc w:val="both"/>
        <w:rPr>
          <w:rFonts w:eastAsia="Times New Roman" w:asciiTheme="majorHAnsi" w:hAnsiTheme="majorHAnsi" w:cstheme="majorHAnsi"/>
          <w:color w:val="FF0000"/>
          <w:sz w:val="20"/>
          <w:szCs w:val="20"/>
        </w:rPr>
      </w:pPr>
      <w:r>
        <w:rPr>
          <w:rFonts w:eastAsia="Times New Roman" w:asciiTheme="majorHAnsi" w:hAnsiTheme="majorHAnsi" w:cstheme="majorHAnsi"/>
          <w:color w:val="000000"/>
          <w:sz w:val="20"/>
          <w:szCs w:val="20"/>
        </w:rPr>
        <w:t>As obrigações da detentora da ata de registro de preços serão dispostas em item específico da minuta da ata de registro de preços do presente processo.</w:t>
      </w:r>
    </w:p>
    <w:p w14:paraId="6C6C6C59">
      <w:pPr>
        <w:numPr>
          <w:ilvl w:val="0"/>
          <w:numId w:val="23"/>
        </w:numPr>
        <w:pBdr>
          <w:top w:val="none" w:color="auto" w:sz="0" w:space="0"/>
          <w:left w:val="none" w:color="auto" w:sz="0" w:space="0"/>
          <w:bottom w:val="none" w:color="auto" w:sz="0" w:space="0"/>
          <w:right w:val="none" w:color="auto" w:sz="0" w:space="0"/>
          <w:between w:val="none" w:color="auto" w:sz="0" w:space="0"/>
        </w:pBdr>
        <w:shd w:val="clear" w:color="auto" w:fill="8EAADB" w:themeFill="accent1" w:themeFillTint="99"/>
        <w:tabs>
          <w:tab w:val="left" w:pos="284"/>
        </w:tabs>
        <w:spacing w:before="360" w:after="0" w:line="240" w:lineRule="auto"/>
        <w:ind w:left="0" w:firstLine="0"/>
        <w:jc w:val="both"/>
        <w:rPr>
          <w:rFonts w:eastAsia="Times New Roman" w:asciiTheme="majorHAnsi" w:hAnsiTheme="majorHAnsi" w:cstheme="majorHAnsi"/>
          <w:b/>
          <w:color w:val="000000"/>
          <w:sz w:val="20"/>
          <w:szCs w:val="20"/>
          <w:u w:val="single"/>
        </w:rPr>
      </w:pPr>
      <w:r>
        <w:rPr>
          <w:rFonts w:eastAsia="Times New Roman" w:asciiTheme="majorHAnsi" w:hAnsiTheme="majorHAnsi" w:cstheme="majorHAnsi"/>
          <w:b/>
          <w:color w:val="000000"/>
          <w:sz w:val="20"/>
          <w:szCs w:val="20"/>
        </w:rPr>
        <w:t xml:space="preserve">DA CONTRATAÇÃO </w:t>
      </w:r>
    </w:p>
    <w:p w14:paraId="7D84285C">
      <w:pPr>
        <w:tabs>
          <w:tab w:val="right" w:pos="426"/>
        </w:tabs>
        <w:spacing w:before="240"/>
        <w:jc w:val="both"/>
        <w:rPr>
          <w:rFonts w:eastAsia="Times New Roman" w:asciiTheme="majorHAnsi" w:hAnsiTheme="majorHAnsi" w:cstheme="majorHAnsi"/>
          <w:sz w:val="20"/>
          <w:szCs w:val="20"/>
        </w:rPr>
      </w:pPr>
      <w:r>
        <w:rPr>
          <w:rFonts w:eastAsia="Times New Roman" w:asciiTheme="majorHAnsi" w:hAnsiTheme="majorHAnsi" w:cstheme="majorHAnsi"/>
          <w:sz w:val="20"/>
          <w:szCs w:val="20"/>
        </w:rPr>
        <w:t>Uma vez que o presente termo de referência objetiva a compra com entrega imediata de bens dos quais não resultam em obrigações futuras, inclusive quanto à assistência técnica, a contratação decorrente desta licitação será formalizada por meio de ordem de fornecimento acompanhada de nota de empenho de despesa, por se caracterizar como instrumento hábil a substituir o contrato formal, em conformidade com o art. 95 da Lei nº 14.133/2021.</w:t>
      </w:r>
    </w:p>
    <w:p w14:paraId="64EE3DBD">
      <w:pPr>
        <w:numPr>
          <w:ilvl w:val="1"/>
          <w:numId w:val="25"/>
        </w:numPr>
        <w:pBdr>
          <w:top w:val="none" w:color="auto" w:sz="0" w:space="0"/>
          <w:left w:val="none" w:color="auto" w:sz="0" w:space="0"/>
          <w:bottom w:val="none" w:color="auto" w:sz="0" w:space="0"/>
          <w:right w:val="none" w:color="auto" w:sz="0" w:space="0"/>
          <w:between w:val="none" w:color="auto" w:sz="0" w:space="0"/>
        </w:pBdr>
        <w:tabs>
          <w:tab w:val="right" w:pos="426"/>
        </w:tabs>
        <w:spacing w:before="240" w:after="0" w:line="276"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PRAZO PARA ASSINATURA DO CONTRATO OU RETIRADA DO INSTRUMENTO EQUIVALENTE</w:t>
      </w:r>
    </w:p>
    <w:p w14:paraId="478A4D4A">
      <w:pPr>
        <w:numPr>
          <w:ilvl w:val="2"/>
          <w:numId w:val="25"/>
        </w:numPr>
        <w:pBdr>
          <w:top w:val="none" w:color="auto" w:sz="0" w:space="0"/>
          <w:left w:val="none" w:color="auto" w:sz="0" w:space="0"/>
          <w:bottom w:val="none" w:color="auto" w:sz="0" w:space="0"/>
          <w:right w:val="none" w:color="auto" w:sz="0" w:space="0"/>
          <w:between w:val="none" w:color="auto" w:sz="0" w:space="0"/>
        </w:pBdr>
        <w:tabs>
          <w:tab w:val="right" w:pos="567"/>
          <w:tab w:val="left" w:pos="993"/>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 Detentor da Ata será convocado para a retirada da ordem de fornecimento, no prazo de até 05 (cinco) dias úteis, contados a partir da convocação, sob pena de decair o direito à contratação.</w:t>
      </w:r>
    </w:p>
    <w:p w14:paraId="3E5B6C5D">
      <w:pPr>
        <w:numPr>
          <w:ilvl w:val="2"/>
          <w:numId w:val="25"/>
        </w:numPr>
        <w:pBdr>
          <w:top w:val="none" w:color="auto" w:sz="0" w:space="0"/>
          <w:left w:val="none" w:color="auto" w:sz="0" w:space="0"/>
          <w:bottom w:val="none" w:color="auto" w:sz="0" w:space="0"/>
          <w:right w:val="none" w:color="auto" w:sz="0" w:space="0"/>
          <w:between w:val="none" w:color="auto" w:sz="0" w:space="0"/>
        </w:pBdr>
        <w:tabs>
          <w:tab w:val="right" w:pos="567"/>
          <w:tab w:val="left" w:pos="993"/>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 prazo de convocação poderá ser prorrogado 1 (uma) vez, por igual período, mediante solicitação da parte durante seu transcurso, devidamente justificada, e desde que o motivo apresentado seja aceito pela Administração.</w:t>
      </w:r>
    </w:p>
    <w:p w14:paraId="6B8AB4BC">
      <w:pPr>
        <w:pBdr>
          <w:top w:val="none" w:color="auto" w:sz="0" w:space="0"/>
          <w:left w:val="none" w:color="auto" w:sz="0" w:space="0"/>
          <w:bottom w:val="none" w:color="auto" w:sz="0" w:space="0"/>
          <w:right w:val="none" w:color="auto" w:sz="0" w:space="0"/>
          <w:between w:val="none" w:color="auto" w:sz="0" w:space="0"/>
        </w:pBdr>
        <w:tabs>
          <w:tab w:val="left" w:pos="993"/>
        </w:tabs>
        <w:spacing w:after="0"/>
        <w:ind w:left="426"/>
        <w:jc w:val="both"/>
        <w:rPr>
          <w:rFonts w:eastAsia="Times New Roman" w:asciiTheme="majorHAnsi" w:hAnsiTheme="majorHAnsi" w:cstheme="majorHAnsi"/>
          <w:color w:val="000000"/>
          <w:sz w:val="20"/>
          <w:szCs w:val="20"/>
        </w:rPr>
      </w:pPr>
    </w:p>
    <w:p w14:paraId="14781038">
      <w:pPr>
        <w:numPr>
          <w:ilvl w:val="1"/>
          <w:numId w:val="25"/>
        </w:numPr>
        <w:pBdr>
          <w:top w:val="none" w:color="auto" w:sz="0" w:space="0"/>
          <w:left w:val="none" w:color="auto" w:sz="0" w:space="0"/>
          <w:bottom w:val="none" w:color="auto" w:sz="0" w:space="0"/>
          <w:right w:val="none" w:color="auto" w:sz="0" w:space="0"/>
          <w:between w:val="none" w:color="auto" w:sz="0" w:space="0"/>
        </w:pBdr>
        <w:tabs>
          <w:tab w:val="right" w:pos="426"/>
          <w:tab w:val="left" w:pos="851"/>
        </w:tabs>
        <w:spacing w:after="0" w:line="36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OBRIGAÇÕES E RESPONSABILIDADES DA CONTRATANTE</w:t>
      </w:r>
    </w:p>
    <w:p w14:paraId="499598ED">
      <w:pPr>
        <w:numPr>
          <w:ilvl w:val="2"/>
          <w:numId w:val="25"/>
        </w:numPr>
        <w:pBdr>
          <w:top w:val="none" w:color="auto" w:sz="0" w:space="0"/>
          <w:left w:val="none" w:color="auto" w:sz="0" w:space="0"/>
          <w:bottom w:val="none" w:color="auto" w:sz="0" w:space="0"/>
          <w:right w:val="none" w:color="auto" w:sz="0" w:space="0"/>
          <w:between w:val="none" w:color="auto" w:sz="0" w:space="0"/>
        </w:pBdr>
        <w:spacing w:after="20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É dever da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 xml:space="preserve"> exigir o cumprimento de todas as obrigações assumidas pela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em especial:</w:t>
      </w:r>
    </w:p>
    <w:p w14:paraId="2A5C8F67">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Receber o objeto conforme as especificações técnicas do que foi solicitado, tais como forma farmacêutica, concentração, condições de conservação e embalagem, bem como como os demais itens do detalhamento do objeto, constantes do Termo de Referência;</w:t>
      </w:r>
    </w:p>
    <w:p w14:paraId="20986421">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Acompanhar e fiscalizar a execução do objeto contratado, através de servidor designado para este fim;</w:t>
      </w:r>
    </w:p>
    <w:p w14:paraId="6360A8DC">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Informar à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as normas e procedimentos de acesso às suas instalações para entrega dos bens;</w:t>
      </w:r>
    </w:p>
    <w:p w14:paraId="713EE6BD">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Verificar a conformidade dos medicamentos entregues com as especificações e quantidades exigidas, inclusive quanto à marca indicada na proposta;</w:t>
      </w:r>
    </w:p>
    <w:p w14:paraId="45BFD955">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Promover o recebimento provisório e definitivo do objeto, cumpridas as condições estabelecidas no item 3 deste Termo de Referência;</w:t>
      </w:r>
    </w:p>
    <w:p w14:paraId="4DD9A754">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Comunicar por escrito à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qualquer vício, defeito ou irregularidade no objeto fornecido, solicitando a substituição, o reparo ou complementação do medicamento entregue, às suas expensas, no prazo fixado para o cumprimento da determinação;</w:t>
      </w:r>
    </w:p>
    <w:p w14:paraId="648AC194">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Recusar o recebimento do medicamento que não atenda aos requisitos elencados nas especificações indicadas se, após o prazo fixado para substituição, reparo ou complementação, não for sanada a irregularidade verificada, comunicando à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o fato por escrito;</w:t>
      </w:r>
    </w:p>
    <w:p w14:paraId="71E38BA3">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Analisar e atestar as Faturas e Notas Fiscais emitidas e efetuar os respectivos pagamentos nas condições e nos prazos estabelecidos</w:t>
      </w:r>
      <w:r>
        <w:rPr>
          <w:rFonts w:eastAsia="Carlito" w:asciiTheme="majorHAnsi" w:hAnsiTheme="majorHAnsi" w:cstheme="majorHAnsi"/>
          <w:color w:val="000000"/>
          <w:sz w:val="20"/>
          <w:szCs w:val="20"/>
        </w:rPr>
        <w:t xml:space="preserve"> </w:t>
      </w:r>
      <w:r>
        <w:rPr>
          <w:rFonts w:eastAsia="Times New Roman" w:asciiTheme="majorHAnsi" w:hAnsiTheme="majorHAnsi" w:cstheme="majorHAnsi"/>
          <w:color w:val="000000"/>
          <w:sz w:val="20"/>
          <w:szCs w:val="20"/>
        </w:rPr>
        <w:t>exigindo que as notas fiscais de todos os medicamentos contenham o número dos lotes dos produtos nelas constantes;</w:t>
      </w:r>
    </w:p>
    <w:p w14:paraId="2F0126F4">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Liberar o pagamento da parcela incontroversa da execução do objeto contratado, quando houver controvérsia sobre a dimensão, qualidade e quantidade do objeto executado;</w:t>
      </w:r>
    </w:p>
    <w:p w14:paraId="63AFA1AB">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Comunicar à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as ocorrências de quaisquer fatos que, a seu critério, exijam medidas corretivas;</w:t>
      </w:r>
    </w:p>
    <w:p w14:paraId="6F16F4F6">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Informar por escrito à contratada a lista de medicamentos e suas respectivas quantidades com a identificação do lote de fabricação e origem, até vinte dias antes do vencimento dos medicamentos, para fins de recolhimento e substituição dos mesmos, nos termos do art. 2º da Lei Estadual nº 13.065/2006;</w:t>
      </w:r>
    </w:p>
    <w:p w14:paraId="15A79CB1">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Prestar as informações e esclarecimentos que venham a ser solicitados pela </w:t>
      </w:r>
      <w:r>
        <w:rPr>
          <w:rFonts w:eastAsia="Times New Roman" w:asciiTheme="majorHAnsi" w:hAnsiTheme="majorHAnsi" w:cstheme="majorHAnsi"/>
          <w:b/>
          <w:color w:val="000000"/>
          <w:sz w:val="20"/>
          <w:szCs w:val="20"/>
        </w:rPr>
        <w:t xml:space="preserve">CONTRATADA </w:t>
      </w:r>
      <w:r>
        <w:rPr>
          <w:rFonts w:eastAsia="Times New Roman" w:asciiTheme="majorHAnsi" w:hAnsiTheme="majorHAnsi" w:cstheme="majorHAnsi"/>
          <w:color w:val="000000"/>
          <w:sz w:val="20"/>
          <w:szCs w:val="20"/>
        </w:rPr>
        <w:t>relacionados à execução contratual;</w:t>
      </w:r>
    </w:p>
    <w:p w14:paraId="15E74731">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bookmarkStart w:id="7" w:name="_heading=h.ly8upz2pu2sy" w:colFirst="0" w:colLast="0"/>
      <w:bookmarkEnd w:id="7"/>
      <w:r>
        <w:rPr>
          <w:rFonts w:eastAsia="Times New Roman" w:asciiTheme="majorHAnsi" w:hAnsiTheme="majorHAnsi" w:cstheme="majorHAnsi"/>
          <w:color w:val="000000"/>
          <w:sz w:val="20"/>
          <w:szCs w:val="20"/>
        </w:rPr>
        <w:t>Aplicar as penalidades previstas na lei e neste Termo de Referência;</w:t>
      </w:r>
    </w:p>
    <w:p w14:paraId="76095163">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Notificar, nos termos do §4º do art. 137 da Lei nº 14.133, de 2021, os emitentes das garantias quanto ao início de processo administrativo para apuração de descumprimento de cláusulas contratuais;</w:t>
      </w:r>
    </w:p>
    <w:p w14:paraId="7F7BC707">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Proferir, no prazo de 30 (trinta) dias a contar da data do protocolo do requerimento, admitida a prorrogação motivada por igual período, decisão explícita sobre todas as solicitações e reclamações relacionadas à execução da presente contratação, ressalvados os requerimentos manifestamente impertinentes, meramente protelatórios ou de nenhum interesse para a boa execução do ajuste;</w:t>
      </w:r>
    </w:p>
    <w:p w14:paraId="16059E17">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Responder a pedidos de reajustamento no prazo máximo de 60 (sessenta) dias e aos pedidos de restabelecimento do equilíbrio econômico-financeiro no prazo máximo de 90 (noventa) dias, contados a partir da instrução completa dos respectivos requerimentos;</w:t>
      </w:r>
    </w:p>
    <w:p w14:paraId="64BA7C94">
      <w:pPr>
        <w:numPr>
          <w:ilvl w:val="0"/>
          <w:numId w:val="26"/>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Cumprir a Lei nº 13.709, de 14 de agosto de 2018 (LGPD), quanto a todos os dados pessoais a que tenha acesso em razão do certame, independentemente de declaração ou de aceitação expressa.</w:t>
      </w:r>
    </w:p>
    <w:p w14:paraId="63B7007A">
      <w:pPr>
        <w:pBdr>
          <w:top w:val="none" w:color="auto" w:sz="0" w:space="0"/>
          <w:left w:val="none" w:color="auto" w:sz="0" w:space="0"/>
          <w:bottom w:val="none" w:color="auto" w:sz="0" w:space="0"/>
          <w:right w:val="none" w:color="auto" w:sz="0" w:space="0"/>
          <w:between w:val="none" w:color="auto" w:sz="0" w:space="0"/>
        </w:pBdr>
        <w:tabs>
          <w:tab w:val="left" w:pos="851"/>
          <w:tab w:val="left" w:pos="993"/>
        </w:tabs>
        <w:spacing w:before="120" w:after="0" w:line="240" w:lineRule="auto"/>
        <w:ind w:left="426"/>
        <w:jc w:val="both"/>
        <w:rPr>
          <w:rFonts w:eastAsia="Times New Roman" w:asciiTheme="majorHAnsi" w:hAnsiTheme="majorHAnsi" w:cstheme="majorHAnsi"/>
          <w:color w:val="000000"/>
          <w:sz w:val="20"/>
          <w:szCs w:val="20"/>
        </w:rPr>
      </w:pPr>
    </w:p>
    <w:p w14:paraId="44AE5CE1">
      <w:pPr>
        <w:numPr>
          <w:ilvl w:val="1"/>
          <w:numId w:val="25"/>
        </w:numPr>
        <w:pBdr>
          <w:top w:val="none" w:color="auto" w:sz="0" w:space="0"/>
          <w:left w:val="none" w:color="auto" w:sz="0" w:space="0"/>
          <w:bottom w:val="none" w:color="auto" w:sz="0" w:space="0"/>
          <w:right w:val="none" w:color="auto" w:sz="0" w:space="0"/>
          <w:between w:val="none" w:color="auto" w:sz="0" w:space="0"/>
        </w:pBdr>
        <w:tabs>
          <w:tab w:val="right" w:pos="426"/>
          <w:tab w:val="left" w:pos="851"/>
        </w:tabs>
        <w:spacing w:before="120" w:after="0" w:line="36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OBRIGAÇÕES E RESPONSABILIDADES DA CONTRATADA</w:t>
      </w:r>
    </w:p>
    <w:p w14:paraId="06EC5E1E">
      <w:pPr>
        <w:numPr>
          <w:ilvl w:val="2"/>
          <w:numId w:val="25"/>
        </w:numPr>
        <w:pBdr>
          <w:top w:val="none" w:color="auto" w:sz="0" w:space="0"/>
          <w:left w:val="none" w:color="auto" w:sz="0" w:space="0"/>
          <w:bottom w:val="none" w:color="auto" w:sz="0" w:space="0"/>
          <w:right w:val="none" w:color="auto" w:sz="0" w:space="0"/>
          <w:between w:val="none" w:color="auto" w:sz="0" w:space="0"/>
        </w:pBdr>
        <w:tabs>
          <w:tab w:val="righ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w:t>
      </w:r>
      <w:r>
        <w:rPr>
          <w:rFonts w:eastAsia="Times New Roman" w:asciiTheme="majorHAnsi" w:hAnsiTheme="majorHAnsi" w:cstheme="majorHAnsi"/>
          <w:b/>
          <w:color w:val="000000"/>
          <w:sz w:val="20"/>
          <w:szCs w:val="20"/>
        </w:rPr>
        <w:t xml:space="preserve"> CONTRATADA</w:t>
      </w:r>
      <w:r>
        <w:rPr>
          <w:rFonts w:eastAsia="Times New Roman" w:asciiTheme="majorHAnsi" w:hAnsiTheme="majorHAnsi" w:cstheme="majorHAnsi"/>
          <w:color w:val="000000"/>
          <w:sz w:val="20"/>
          <w:szCs w:val="20"/>
        </w:rPr>
        <w:t xml:space="preserve"> deve cumprir todas as obrigações constantes do Edital, de seus anexos e da proposta apresentada na licitação e, ainda:</w:t>
      </w:r>
    </w:p>
    <w:p w14:paraId="56284D79">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Fornecer o medicamento em conformidade com as especificações técnicas exigidas, tais como forma farmacêutica, concentração, condições de conservação, embalagem, prazo de validade e demais itens do detalhamento do objeto, constantes do Termo de Referência;</w:t>
      </w:r>
    </w:p>
    <w:p w14:paraId="5191EDB6">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Fornecer o medicamento com prazo de validade mínimo de 12 (doze) meses a contar da data da entrega ou, em caso de impossibilidade técnica devido a sua natureza, que seja entregue com prazo equivalente a, no mínimo, 75% (setenta e cinco por cento) de sua validade, a contar da data de fabricação;</w:t>
      </w:r>
    </w:p>
    <w:p w14:paraId="52F88A88">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Fornecer os lotes de medicamento acompanhado de laudo analítico-laboratorial expedido pela empresa produtora/titular do registro na ANVISA e/ou laboratório integrante da Rede Brasileira de Laboratórios Analíticos em Saúdo (REBLAS)</w:t>
      </w:r>
    </w:p>
    <w:p w14:paraId="0574EB0B">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Cumprir o prazo de entrega estabelecido neste Termo de Referência;</w:t>
      </w:r>
    </w:p>
    <w:p w14:paraId="50B70334">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Substituir, corrigir, reparar ou complementar, às suas expensas, no todo ou em parte, conforme o caso, no prazo de até 05(cinco) dias úteis contado da respectiva notificação, ou no prazo assinalado pelo fiscal da contratação, os bens que apresentarem vícios, defeitos ou qualquer irregularidade;</w:t>
      </w:r>
    </w:p>
    <w:p w14:paraId="553BF24B">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Programar, com a necessária antecedência, data e hora para entrega do objeto contratado, inclusive quando esta ocorrer através de empresa transportadora, comunicando à CONTRATANTE, até 02 (dois) dias antes, qualquer impedimento à entrega, devidamente comprovado;</w:t>
      </w:r>
    </w:p>
    <w:p w14:paraId="53AC010D">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bookmarkStart w:id="8" w:name="_heading=h.bnzt421r70p9" w:colFirst="0" w:colLast="0"/>
      <w:bookmarkEnd w:id="8"/>
      <w:r>
        <w:rPr>
          <w:rFonts w:eastAsia="Times New Roman" w:asciiTheme="majorHAnsi" w:hAnsiTheme="majorHAnsi" w:cstheme="majorHAnsi"/>
          <w:color w:val="000000"/>
          <w:sz w:val="20"/>
          <w:szCs w:val="20"/>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pela CONTRATANTE, que ficará autorizada a descontar dos pagamentos devidos ou da garantia, caso exigida no Edital, o valor correspondente aos danos sofridos;</w:t>
      </w:r>
    </w:p>
    <w:p w14:paraId="7D929404">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Não transferir a outrem, no todo ou em parte, o objeto da contratação;</w:t>
      </w:r>
    </w:p>
    <w:p w14:paraId="285E5BB4">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Comunicar à CONTRATANTE, em tempo hábil e por escrito, a superveniência de fatos que venham a prejudicar o adequado fornecimento dos medicamentos, de modo a se viabilizar a correção da situação apresentada;</w:t>
      </w:r>
    </w:p>
    <w:p w14:paraId="4ADC5525">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Designar preposto para representá-la perante a CONTRATANTE sempre que for necessário, indicando o respectivo telefone e e-mail para futuras contratações;</w:t>
      </w:r>
    </w:p>
    <w:p w14:paraId="6FA2EFA0">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Prestar os necessários esclarecimentos sobre o fornecimento solicitados pela CONTRATANTE, no prazo máximo de 05 (cinco) dias úteis após o recebimento da solicitação;</w:t>
      </w:r>
    </w:p>
    <w:p w14:paraId="75702A84">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Responsabilizar-se pelos encargos trabalhistas, previdenciários, fiscais e comerciais resultantes da execução do objeto, cuja inadimplência não transfere a responsabilidade à CONTRATANTE e não poderá onerar o objeto da contratação, sendo que eventual pessoal alocado ao contrato (ou instrumento equivalente)não terá qualquer vínculo empregatício com a CONTRATANTE;</w:t>
      </w:r>
    </w:p>
    <w:p w14:paraId="132250DE">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Emitir documento fiscal com a discriminação expressa do percentual de isenção do ICMS, quando se tratar de operação abrangida pelos Convênios CONFAZ nº 87/2002 e nº 54/2009;</w:t>
      </w:r>
    </w:p>
    <w:p w14:paraId="3F689540">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Manter, durante o prazo de vigência do contrato (ou instrumento equivalente), todas as condições de habilitação e qualificação exigidas na licitação, inclusive sua inscrição no CADFOR-PE;</w:t>
      </w:r>
    </w:p>
    <w:p w14:paraId="17C46237">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Comprovar, quando for o caso, no início da execução contratual e sempre que solicitado pelo fiscal, a reserva de cargos prevista em lei para pessoa com deficiência, para reabilitado da Previdência Social e para aprendiz, durante toda a vigência do contratação, com a indicação dos empregados que preencheram as referidas vagas;</w:t>
      </w:r>
    </w:p>
    <w:p w14:paraId="1F604898">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Guardar sigilo sobre todas as informações obtidas em decorrência do cumprimento da contratação e cumprir a Lei nº 13.709, de 14 de agosto de 2018 (LGPD), quanto a todos os dados pessoais a que tenha acesso em razão do certame ou do contrato administrativo, independentemente de declaração ou de aceitação expressa;</w:t>
      </w:r>
    </w:p>
    <w:p w14:paraId="30B86801">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Comunicar à CONTRATANTE, no prazo máximo de 05 (cinco) dias úteis, qualquer alteração no Contrato Social ou no endereço comercial;</w:t>
      </w:r>
    </w:p>
    <w:p w14:paraId="75689D8E">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142"/>
          <w:tab w:val="left" w:pos="1276"/>
        </w:tabs>
        <w:spacing w:before="120" w:after="0" w:line="240"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Realizar o recolhimento dos medicamentos, cujos prazos de validade expirem em poder das farmácias, drogarias e postos de medicamento do contratante e substitui-los, no prazo de 15 (quinze) dias a contar da solicitação, por outros idênticos e em condições de uso, nos termos dos §§ 1º e 2º do art. 2º da Lei Estadual nº 13.065, de 05 de julho de 2006.</w:t>
      </w:r>
    </w:p>
    <w:p w14:paraId="1611C6D3">
      <w:pPr>
        <w:pBdr>
          <w:top w:val="none" w:color="auto" w:sz="0" w:space="0"/>
          <w:left w:val="none" w:color="auto" w:sz="0" w:space="0"/>
          <w:bottom w:val="none" w:color="auto" w:sz="0" w:space="0"/>
          <w:right w:val="none" w:color="auto" w:sz="0" w:space="0"/>
          <w:between w:val="none" w:color="auto" w:sz="0" w:space="0"/>
        </w:pBdr>
        <w:tabs>
          <w:tab w:val="left" w:pos="2612"/>
        </w:tabs>
        <w:spacing w:before="120" w:after="0" w:line="240" w:lineRule="auto"/>
        <w:ind w:left="425"/>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b/>
      </w:r>
    </w:p>
    <w:p w14:paraId="45BCEF02">
      <w:pPr>
        <w:numPr>
          <w:ilvl w:val="1"/>
          <w:numId w:val="25"/>
        </w:numPr>
        <w:pBdr>
          <w:top w:val="none" w:color="auto" w:sz="0" w:space="0"/>
          <w:left w:val="none" w:color="auto" w:sz="0" w:space="0"/>
          <w:bottom w:val="none" w:color="auto" w:sz="0" w:space="0"/>
          <w:right w:val="none" w:color="auto" w:sz="0" w:space="0"/>
          <w:between w:val="none" w:color="auto" w:sz="0" w:space="0"/>
        </w:pBdr>
        <w:tabs>
          <w:tab w:val="left" w:pos="0"/>
          <w:tab w:val="right" w:pos="1134"/>
        </w:tabs>
        <w:spacing w:before="120" w:after="0" w:line="240" w:lineRule="auto"/>
        <w:jc w:val="both"/>
        <w:rPr>
          <w:rFonts w:eastAsia="Times New Roman" w:asciiTheme="majorHAnsi" w:hAnsiTheme="majorHAnsi" w:cstheme="majorHAnsi"/>
          <w:color w:val="FF0000"/>
          <w:sz w:val="20"/>
          <w:szCs w:val="20"/>
        </w:rPr>
      </w:pPr>
      <w:r>
        <w:rPr>
          <w:rFonts w:eastAsia="Times New Roman" w:asciiTheme="majorHAnsi" w:hAnsiTheme="majorHAnsi" w:cstheme="majorHAnsi"/>
          <w:b/>
          <w:color w:val="000000"/>
          <w:sz w:val="20"/>
          <w:szCs w:val="20"/>
        </w:rPr>
        <w:t xml:space="preserve">JUSTIFICATIVA PARA VEDAÇÃO DA SUBCONTRATAÇÃO DO OBJETO </w:t>
      </w:r>
    </w:p>
    <w:p w14:paraId="74AB26D7">
      <w:pPr>
        <w:numPr>
          <w:ilvl w:val="2"/>
          <w:numId w:val="25"/>
        </w:numPr>
        <w:pBdr>
          <w:top w:val="none" w:color="auto" w:sz="0" w:space="0"/>
          <w:left w:val="none" w:color="auto" w:sz="0" w:space="0"/>
          <w:bottom w:val="none" w:color="auto" w:sz="0" w:space="0"/>
          <w:right w:val="none" w:color="auto" w:sz="0" w:space="0"/>
          <w:between w:val="none" w:color="auto" w:sz="0" w:space="0"/>
        </w:pBdr>
        <w:tabs>
          <w:tab w:val="left" w:pos="567"/>
          <w:tab w:val="right" w:pos="1134"/>
        </w:tabs>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Não será permitida a subcontratação de qualquer parcela do objeto da presente licitação, uma vez queporque o objeto a ser licitado não comporta execução complexa, de modo que alguma fase/etapa e aspecto requeira a participação de terceiros em razão dos princípios da especialização e da concentração das atividades, o que não é o caso. Por esta razão resta vedada a subcontratação.</w:t>
      </w:r>
    </w:p>
    <w:p w14:paraId="6527F76A">
      <w:pPr>
        <w:pBdr>
          <w:top w:val="none" w:color="auto" w:sz="0" w:space="0"/>
          <w:left w:val="none" w:color="auto" w:sz="0" w:space="0"/>
          <w:bottom w:val="none" w:color="auto" w:sz="0" w:space="0"/>
          <w:right w:val="none" w:color="auto" w:sz="0" w:space="0"/>
          <w:between w:val="none" w:color="auto" w:sz="0" w:space="0"/>
        </w:pBdr>
        <w:tabs>
          <w:tab w:val="left" w:pos="567"/>
          <w:tab w:val="right" w:pos="1134"/>
        </w:tabs>
        <w:spacing w:after="0" w:line="240" w:lineRule="auto"/>
        <w:jc w:val="both"/>
        <w:rPr>
          <w:rFonts w:eastAsia="Times New Roman" w:asciiTheme="majorHAnsi" w:hAnsiTheme="majorHAnsi" w:cstheme="majorHAnsi"/>
          <w:color w:val="000000"/>
          <w:sz w:val="20"/>
          <w:szCs w:val="20"/>
        </w:rPr>
      </w:pPr>
    </w:p>
    <w:p w14:paraId="5617C44E">
      <w:pPr>
        <w:numPr>
          <w:ilvl w:val="1"/>
          <w:numId w:val="25"/>
        </w:numPr>
        <w:pBdr>
          <w:top w:val="none" w:color="auto" w:sz="0" w:space="0"/>
          <w:left w:val="none" w:color="auto" w:sz="0" w:space="0"/>
          <w:bottom w:val="none" w:color="auto" w:sz="0" w:space="0"/>
          <w:right w:val="none" w:color="auto" w:sz="0" w:space="0"/>
          <w:between w:val="none" w:color="auto" w:sz="0" w:space="0"/>
        </w:pBdr>
        <w:tabs>
          <w:tab w:val="right" w:pos="0"/>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MODELO DE GESTÃO DA CONTRATAÇÃO</w:t>
      </w:r>
    </w:p>
    <w:p w14:paraId="0AD25DF9">
      <w:pPr>
        <w:numPr>
          <w:ilvl w:val="2"/>
          <w:numId w:val="25"/>
        </w:numPr>
        <w:pBdr>
          <w:top w:val="none" w:color="auto" w:sz="0" w:space="0"/>
          <w:left w:val="none" w:color="auto" w:sz="0" w:space="0"/>
          <w:bottom w:val="none" w:color="auto" w:sz="0" w:space="0"/>
          <w:right w:val="none" w:color="auto" w:sz="0" w:space="0"/>
          <w:between w:val="none" w:color="auto" w:sz="0" w:space="0"/>
        </w:pBdr>
        <w:tabs>
          <w:tab w:val="right" w:pos="0"/>
          <w:tab w:val="right" w:pos="567"/>
        </w:tabs>
        <w:spacing w:after="0" w:line="276" w:lineRule="auto"/>
        <w:ind w:left="0" w:firstLine="0"/>
        <w:jc w:val="both"/>
        <w:rPr>
          <w:rFonts w:eastAsia="Times New Roman" w:asciiTheme="majorHAnsi" w:hAnsiTheme="majorHAnsi" w:cstheme="majorHAnsi"/>
          <w:color w:val="000000"/>
          <w:sz w:val="20"/>
          <w:szCs w:val="20"/>
        </w:rPr>
      </w:pPr>
      <w:bookmarkStart w:id="9" w:name="_heading=h.whkpa54afd7o" w:colFirst="0" w:colLast="0"/>
      <w:bookmarkEnd w:id="9"/>
      <w:r>
        <w:rPr>
          <w:rFonts w:eastAsia="Times New Roman" w:asciiTheme="majorHAnsi" w:hAnsiTheme="majorHAnsi" w:cstheme="majorHAnsi"/>
          <w:color w:val="000000"/>
          <w:sz w:val="20"/>
          <w:szCs w:val="20"/>
        </w:rPr>
        <w:t>As obrigações dos agentes responsáveis pela gestão e fiscalização da presente contratação estão detalhadas no Decreto Estadual nº 51.651/2021, bem como, serão dispostas abaixo:</w:t>
      </w:r>
    </w:p>
    <w:p w14:paraId="784A471E">
      <w:pPr>
        <w:numPr>
          <w:ilvl w:val="2"/>
          <w:numId w:val="25"/>
        </w:numPr>
        <w:pBdr>
          <w:top w:val="none" w:color="auto" w:sz="0" w:space="0"/>
          <w:left w:val="none" w:color="auto" w:sz="0" w:space="0"/>
          <w:bottom w:val="none" w:color="auto" w:sz="0" w:space="0"/>
          <w:right w:val="none" w:color="auto" w:sz="0" w:space="0"/>
          <w:between w:val="none" w:color="auto" w:sz="0" w:space="0"/>
        </w:pBdr>
        <w:tabs>
          <w:tab w:val="right" w:pos="0"/>
          <w:tab w:val="right" w:pos="567"/>
        </w:tabs>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comunicação entre a Contratante e a Contratada se dará por meio de telefone e/ou correio eletrônico, sem prejuízo de outros meios disponíveis.</w:t>
      </w:r>
    </w:p>
    <w:p w14:paraId="1A2442C2">
      <w:pPr>
        <w:numPr>
          <w:ilvl w:val="2"/>
          <w:numId w:val="25"/>
        </w:numPr>
        <w:pBdr>
          <w:top w:val="none" w:color="auto" w:sz="0" w:space="0"/>
          <w:left w:val="none" w:color="auto" w:sz="0" w:space="0"/>
          <w:bottom w:val="none" w:color="auto" w:sz="0" w:space="0"/>
          <w:right w:val="none" w:color="auto" w:sz="0" w:space="0"/>
          <w:between w:val="none" w:color="auto" w:sz="0" w:space="0"/>
        </w:pBdr>
        <w:tabs>
          <w:tab w:val="right" w:pos="0"/>
          <w:tab w:val="right" w:pos="567"/>
        </w:tabs>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contratada deverá apresentar a Nota Fiscal ou fatura para atesto da Administração no endereço definido na ordem de fornecimento.</w:t>
      </w:r>
    </w:p>
    <w:p w14:paraId="620CD69A">
      <w:pPr>
        <w:numPr>
          <w:ilvl w:val="2"/>
          <w:numId w:val="25"/>
        </w:numPr>
        <w:pBdr>
          <w:top w:val="none" w:color="auto" w:sz="0" w:space="0"/>
          <w:left w:val="none" w:color="auto" w:sz="0" w:space="0"/>
          <w:bottom w:val="none" w:color="auto" w:sz="0" w:space="0"/>
          <w:right w:val="none" w:color="auto" w:sz="0" w:space="0"/>
          <w:between w:val="none" w:color="auto" w:sz="0" w:space="0"/>
        </w:pBdr>
        <w:tabs>
          <w:tab w:val="right" w:pos="0"/>
          <w:tab w:val="right" w:pos="567"/>
        </w:tabs>
        <w:spacing w:after="0" w:line="276"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A Fiscalização da contratação ficará a cargo do setor de Farmácia</w:t>
      </w:r>
      <w:r>
        <w:rPr>
          <w:rFonts w:eastAsia="Times New Roman" w:asciiTheme="majorHAnsi" w:hAnsiTheme="majorHAnsi" w:cstheme="majorHAnsi"/>
          <w:color w:val="000000"/>
          <w:sz w:val="20"/>
          <w:szCs w:val="20"/>
        </w:rPr>
        <w:t xml:space="preserve"> que, dentre outras, terá as seguintes atribuições:</w:t>
      </w:r>
    </w:p>
    <w:p w14:paraId="2C5E066C">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before="120"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Fiscalizar a regularidade e adequação do fornecimento;</w:t>
      </w:r>
    </w:p>
    <w:p w14:paraId="1518220D">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b) Disponibilizar toda a infraestrutura necessária à entrega do objeto, conforme o caso, nas condições e prazos estabelecidos;</w:t>
      </w:r>
    </w:p>
    <w:p w14:paraId="294C0D3E">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 Verificar a conformidade dos bens fornecidos com as especificações contidas no Edital e seus anexos, recusando o fornecimento de objeto diverso, salvo quando de qualidade superior e devidamente aceito pela CONTRATANTE;</w:t>
      </w:r>
    </w:p>
    <w:p w14:paraId="17C3651A">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d) Receber o objeto contratual e atestar as respectivas faturas e notas fiscais, encaminhando-as ao gestor da contratação para pagamento;</w:t>
      </w:r>
    </w:p>
    <w:p w14:paraId="0DA761C1">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e) Registrar no histórico de execução da contratação todas as ocorrências que possam interferir no adequado andamento da contratação, notificando a CONTRATADA para determinar as medidas e os prazos necessários à regularização das faltas ou dos defeitos observados;</w:t>
      </w:r>
    </w:p>
    <w:p w14:paraId="7F3C65B2">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f) Comunicar por escrito ao gestor da contratação a necessidade de alterações do quantitativo do objeto ou a modificação da forma de sua execução, em razão de fato superveniente, bem como eventuais irregularidades cometidas pela CONTRATADA que exijam decisão ou providências que ultrapassem a sua competência;</w:t>
      </w:r>
    </w:p>
    <w:p w14:paraId="7D2C6A5B">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g) Comunicar imediatamente ao gestor da contratação as ocorrências que possam inviabilizar a execução nas datas pactuadas, com vistas à atualização do cronograma;</w:t>
      </w:r>
    </w:p>
    <w:p w14:paraId="73385354">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h) Verificar a manutenção das condições de habilitação da CONTRATADA, acompanhar o empenho, o pagamento, as garantias, as glosas e a formalização de apostilamento e termos aditivos, solicitando quaisquer documentos comprobatórios pertinentes, caso necessário;</w:t>
      </w:r>
    </w:p>
    <w:p w14:paraId="50B625DD">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i) Comunicar por escrito ao gestor da contratação as faltas cometidas pela CONTRATADA que sejam passíveis de aplicação de penalidade.</w:t>
      </w:r>
    </w:p>
    <w:p w14:paraId="619625D6">
      <w:pPr>
        <w:pBdr>
          <w:top w:val="none" w:color="auto" w:sz="0" w:space="0"/>
          <w:left w:val="none" w:color="auto" w:sz="0" w:space="0"/>
          <w:bottom w:val="none" w:color="auto" w:sz="0" w:space="0"/>
          <w:right w:val="none" w:color="auto" w:sz="0" w:space="0"/>
          <w:between w:val="none" w:color="auto" w:sz="0" w:space="0"/>
        </w:pBdr>
        <w:tabs>
          <w:tab w:val="left" w:pos="851"/>
          <w:tab w:val="left" w:pos="993"/>
          <w:tab w:val="left" w:pos="1276"/>
          <w:tab w:val="left" w:pos="1701"/>
        </w:tabs>
        <w:spacing w:after="0" w:line="240" w:lineRule="auto"/>
        <w:ind w:left="567"/>
        <w:jc w:val="both"/>
        <w:rPr>
          <w:rFonts w:eastAsia="Times New Roman" w:asciiTheme="majorHAnsi" w:hAnsiTheme="majorHAnsi" w:cstheme="majorHAnsi"/>
          <w:color w:val="000000"/>
          <w:sz w:val="20"/>
          <w:szCs w:val="20"/>
        </w:rPr>
      </w:pPr>
    </w:p>
    <w:p w14:paraId="6D9A5ACD">
      <w:pPr>
        <w:numPr>
          <w:ilvl w:val="2"/>
          <w:numId w:val="25"/>
        </w:numPr>
        <w:pBdr>
          <w:top w:val="none" w:color="auto" w:sz="0" w:space="0"/>
          <w:left w:val="none" w:color="auto" w:sz="0" w:space="0"/>
          <w:bottom w:val="none" w:color="auto" w:sz="0" w:space="0"/>
          <w:right w:val="none" w:color="auto" w:sz="0" w:space="0"/>
          <w:between w:val="none" w:color="auto" w:sz="0" w:space="0"/>
        </w:pBdr>
        <w:spacing w:after="0" w:line="276" w:lineRule="auto"/>
        <w:ind w:left="0" w:firstLine="0"/>
        <w:jc w:val="both"/>
        <w:rPr>
          <w:rFonts w:eastAsia="Times New Roman" w:asciiTheme="majorHAnsi" w:hAnsiTheme="majorHAnsi" w:cstheme="majorHAnsi"/>
          <w:color w:val="000000"/>
          <w:sz w:val="20"/>
          <w:szCs w:val="20"/>
        </w:rPr>
      </w:pPr>
      <w:r>
        <w:rPr>
          <w:rFonts w:ascii="Calibri Light" w:hAnsi="Calibri Light" w:cs="Calibri Light"/>
          <w:b/>
          <w:sz w:val="20"/>
          <w:szCs w:val="20"/>
          <w:lang w:eastAsia="en-US"/>
        </w:rPr>
        <w:t>A Gestão da contratação ficará a cargo da Coordenação de Farmácia</w:t>
      </w:r>
      <w:r>
        <w:rPr>
          <w:rFonts w:eastAsia="Times New Roman" w:asciiTheme="majorHAnsi" w:hAnsiTheme="majorHAnsi" w:cstheme="majorHAnsi"/>
          <w:color w:val="000000"/>
          <w:sz w:val="20"/>
          <w:szCs w:val="20"/>
        </w:rPr>
        <w:t>, que, dentre outras, terá as seguintes atribuições:</w:t>
      </w:r>
    </w:p>
    <w:p w14:paraId="76E0A542">
      <w:pPr>
        <w:pBdr>
          <w:top w:val="none" w:color="auto" w:sz="0" w:space="0"/>
          <w:left w:val="none" w:color="auto" w:sz="0" w:space="0"/>
          <w:bottom w:val="none" w:color="auto" w:sz="0" w:space="0"/>
          <w:right w:val="none" w:color="auto" w:sz="0" w:space="0"/>
          <w:between w:val="none" w:color="auto" w:sz="0" w:space="0"/>
        </w:pBdr>
        <w:tabs>
          <w:tab w:val="left" w:pos="851"/>
          <w:tab w:val="left" w:pos="1134"/>
          <w:tab w:val="left" w:pos="1276"/>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Coordenar e atualizar o processo de acompanhamento e fiscalização, elaborando relatórios, quando for o caso, e promovendo os registros formais no histórico de gerenciamento da contratação de todas as ocorrências relacionadas a alterações e prorrogações contratuais;</w:t>
      </w:r>
    </w:p>
    <w:p w14:paraId="4CD601A1">
      <w:pPr>
        <w:pBdr>
          <w:top w:val="none" w:color="auto" w:sz="0" w:space="0"/>
          <w:left w:val="none" w:color="auto" w:sz="0" w:space="0"/>
          <w:bottom w:val="none" w:color="auto" w:sz="0" w:space="0"/>
          <w:right w:val="none" w:color="auto" w:sz="0" w:space="0"/>
          <w:between w:val="none" w:color="auto" w:sz="0" w:space="0"/>
        </w:pBdr>
        <w:tabs>
          <w:tab w:val="left" w:pos="851"/>
          <w:tab w:val="left" w:pos="1134"/>
          <w:tab w:val="left" w:pos="1276"/>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b) Acompanhar e observar o cumprimento dos itens da contratação, bem como os registros realizados pelo fiscal  acerca de todas as ocorrências relacionadas à execução do objeto e as medidas adotadas, informando, se for o caso, à autoridade superior àquelas que ultrapassarem a sua competência; </w:t>
      </w:r>
    </w:p>
    <w:p w14:paraId="2FC0FA5D">
      <w:pPr>
        <w:pBdr>
          <w:top w:val="none" w:color="auto" w:sz="0" w:space="0"/>
          <w:left w:val="none" w:color="auto" w:sz="0" w:space="0"/>
          <w:bottom w:val="none" w:color="auto" w:sz="0" w:space="0"/>
          <w:right w:val="none" w:color="auto" w:sz="0" w:space="0"/>
          <w:between w:val="none" w:color="auto" w:sz="0" w:space="0"/>
        </w:pBdr>
        <w:tabs>
          <w:tab w:val="left" w:pos="851"/>
          <w:tab w:val="left" w:pos="1134"/>
          <w:tab w:val="left" w:pos="1276"/>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 Solicitar abertura de processo administrativo visando à aplicação de penalidade cabível, garantindo a defesa prévia à CONTRATADA;</w:t>
      </w:r>
    </w:p>
    <w:p w14:paraId="24BF027E">
      <w:pPr>
        <w:pBdr>
          <w:top w:val="none" w:color="auto" w:sz="0" w:space="0"/>
          <w:left w:val="none" w:color="auto" w:sz="0" w:space="0"/>
          <w:bottom w:val="none" w:color="auto" w:sz="0" w:space="0"/>
          <w:right w:val="none" w:color="auto" w:sz="0" w:space="0"/>
          <w:between w:val="none" w:color="auto" w:sz="0" w:space="0"/>
        </w:pBdr>
        <w:tabs>
          <w:tab w:val="left" w:pos="851"/>
          <w:tab w:val="left" w:pos="1134"/>
          <w:tab w:val="left" w:pos="1276"/>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d) Propor aplicação de sanções administrativas pelo descumprimento das cláusulas da contratação apontadas pelos fiscais do CONTRATO;</w:t>
      </w:r>
    </w:p>
    <w:p w14:paraId="1A46A31A">
      <w:pPr>
        <w:pBdr>
          <w:top w:val="none" w:color="auto" w:sz="0" w:space="0"/>
          <w:left w:val="none" w:color="auto" w:sz="0" w:space="0"/>
          <w:bottom w:val="none" w:color="auto" w:sz="0" w:space="0"/>
          <w:right w:val="none" w:color="auto" w:sz="0" w:space="0"/>
          <w:between w:val="none" w:color="auto" w:sz="0" w:space="0"/>
        </w:pBdr>
        <w:tabs>
          <w:tab w:val="left" w:pos="851"/>
          <w:tab w:val="left" w:pos="1134"/>
          <w:tab w:val="left" w:pos="1276"/>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e) Providenciar o pagamento das notas fiscais/faturas emitidas pela CONTRATADA, mediante a observância das exigências da contratação e legais;</w:t>
      </w:r>
    </w:p>
    <w:p w14:paraId="1E3BD31D">
      <w:pPr>
        <w:pBdr>
          <w:top w:val="none" w:color="auto" w:sz="0" w:space="0"/>
          <w:left w:val="none" w:color="auto" w:sz="0" w:space="0"/>
          <w:bottom w:val="none" w:color="auto" w:sz="0" w:space="0"/>
          <w:right w:val="none" w:color="auto" w:sz="0" w:space="0"/>
          <w:between w:val="none" w:color="auto" w:sz="0" w:space="0"/>
        </w:pBdr>
        <w:tabs>
          <w:tab w:val="left" w:pos="851"/>
          <w:tab w:val="left" w:pos="1134"/>
          <w:tab w:val="left" w:pos="1276"/>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f) Manter controle atualizado dos pagamentos efetuados, observando que o valor da contratação não seja ultrapassado.</w:t>
      </w:r>
    </w:p>
    <w:p w14:paraId="071DE45B">
      <w:pPr>
        <w:pBdr>
          <w:top w:val="none" w:color="auto" w:sz="0" w:space="0"/>
          <w:left w:val="none" w:color="auto" w:sz="0" w:space="0"/>
          <w:bottom w:val="none" w:color="auto" w:sz="0" w:space="0"/>
          <w:right w:val="none" w:color="auto" w:sz="0" w:space="0"/>
          <w:between w:val="none" w:color="auto" w:sz="0" w:space="0"/>
        </w:pBdr>
        <w:tabs>
          <w:tab w:val="left" w:pos="851"/>
          <w:tab w:val="left" w:pos="1134"/>
          <w:tab w:val="left" w:pos="1276"/>
        </w:tabs>
        <w:spacing w:after="0" w:line="240" w:lineRule="auto"/>
        <w:ind w:left="567"/>
        <w:jc w:val="both"/>
        <w:rPr>
          <w:rFonts w:eastAsia="Times New Roman" w:asciiTheme="majorHAnsi" w:hAnsiTheme="majorHAnsi" w:cstheme="majorHAnsi"/>
          <w:color w:val="000000"/>
          <w:sz w:val="20"/>
          <w:szCs w:val="20"/>
        </w:rPr>
      </w:pPr>
    </w:p>
    <w:p w14:paraId="504CDF71">
      <w:pPr>
        <w:numPr>
          <w:ilvl w:val="2"/>
          <w:numId w:val="25"/>
        </w:numPr>
        <w:pBdr>
          <w:top w:val="none" w:color="auto" w:sz="0" w:space="0"/>
          <w:left w:val="none" w:color="auto" w:sz="0" w:space="0"/>
          <w:bottom w:val="none" w:color="auto" w:sz="0" w:space="0"/>
          <w:right w:val="none" w:color="auto" w:sz="0" w:space="0"/>
          <w:between w:val="none" w:color="auto" w:sz="0" w:space="0"/>
        </w:pBdr>
        <w:tabs>
          <w:tab w:val="left" w:pos="567"/>
          <w:tab w:val="left" w:pos="1134"/>
        </w:tabs>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ciência da designação deverá ser assinada pelos servidores indicados para atuar como fiscal e gestor do CONTRATO, conforme termo de ciência anexo deste Termo de Referência.</w:t>
      </w:r>
    </w:p>
    <w:p w14:paraId="16E46FC7">
      <w:pPr>
        <w:numPr>
          <w:ilvl w:val="2"/>
          <w:numId w:val="25"/>
        </w:numPr>
        <w:pBdr>
          <w:top w:val="none" w:color="auto" w:sz="0" w:space="0"/>
          <w:left w:val="none" w:color="auto" w:sz="0" w:space="0"/>
          <w:bottom w:val="none" w:color="auto" w:sz="0" w:space="0"/>
          <w:right w:val="none" w:color="auto" w:sz="0" w:space="0"/>
          <w:between w:val="none" w:color="auto" w:sz="0" w:space="0"/>
        </w:pBdr>
        <w:tabs>
          <w:tab w:val="left" w:pos="567"/>
          <w:tab w:val="left" w:pos="851"/>
          <w:tab w:val="left" w:pos="1134"/>
        </w:tabs>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substituição do fiscal e do gestor designados, por razões de conveniência ou interesse público, será realizada mediante simples apostilamento a ata, devendo o substituto assinar novo termo de ciência.</w:t>
      </w:r>
    </w:p>
    <w:p w14:paraId="74433558">
      <w:pPr>
        <w:numPr>
          <w:ilvl w:val="0"/>
          <w:numId w:val="28"/>
        </w:numPr>
        <w:pBdr>
          <w:top w:val="none" w:color="auto" w:sz="0" w:space="0"/>
          <w:left w:val="none" w:color="auto" w:sz="0" w:space="0"/>
          <w:bottom w:val="none" w:color="auto" w:sz="0" w:space="0"/>
          <w:right w:val="none" w:color="auto" w:sz="0" w:space="0"/>
          <w:between w:val="none" w:color="auto" w:sz="0" w:space="0"/>
        </w:pBdr>
        <w:shd w:val="clear" w:color="auto" w:fill="8EAADB" w:themeFill="accent1" w:themeFillTint="99"/>
        <w:tabs>
          <w:tab w:val="left" w:pos="284"/>
        </w:tabs>
        <w:spacing w:before="36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DOS CRITÉRIOS E PRAZOS PARA PAGAMENTO</w:t>
      </w:r>
    </w:p>
    <w:p w14:paraId="66E617D0">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O pagamento será feito diretamente pela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 xml:space="preserve">, no prazo de até 30 (trinta) dias, por meio de ordem bancária para crédito em conta corrente da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à vista de termo de recebimento definitivo dos bens acompanhado dos documentos de comprovação da regularidade fiscal e trabalhista e da apresentação da fatura e da nota fiscal ou documento de cobrança equivalente, devidamente atestados pelo fiscal da contratação.</w:t>
      </w:r>
    </w:p>
    <w:p w14:paraId="5670DE92">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deverá emitir as notas fiscais em observância às regras de retenção de imposto de renda estabelecidas na Instrução Normativa RFB nº 1.234/2012, e alterações posteriores, de acordo com as alíquotas constantes do Anexo I da referida norma, ou em observância à norma que venha a substituí-la, sob pena de devolução do documento para as correções cabíveis ou de retenção no valor total do documento fiscal, caso não realizadas as correções, nos termos do art. 4º do Decreto nº 55.069, de 25 de julho de 2023.</w:t>
      </w:r>
    </w:p>
    <w:p w14:paraId="47BEF4ED">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Quando não for possível verificar diretamente no CADFOR-PE, a regularidade fiscal e trabalhista da </w:t>
      </w:r>
      <w:r>
        <w:rPr>
          <w:rFonts w:eastAsia="Times New Roman" w:asciiTheme="majorHAnsi" w:hAnsiTheme="majorHAnsi" w:cstheme="majorHAnsi"/>
          <w:b/>
          <w:color w:val="000000"/>
          <w:sz w:val="20"/>
          <w:szCs w:val="20"/>
        </w:rPr>
        <w:t xml:space="preserve">CONTRATADA </w:t>
      </w:r>
      <w:r>
        <w:rPr>
          <w:rFonts w:eastAsia="Times New Roman" w:asciiTheme="majorHAnsi" w:hAnsiTheme="majorHAnsi" w:cstheme="majorHAnsi"/>
          <w:color w:val="000000"/>
          <w:sz w:val="20"/>
          <w:szCs w:val="20"/>
        </w:rPr>
        <w:t>será comprovada mediante a apresentação das seguintes certidões:</w:t>
      </w:r>
    </w:p>
    <w:p w14:paraId="17339227">
      <w:pPr>
        <w:numPr>
          <w:ilvl w:val="2"/>
          <w:numId w:val="28"/>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426"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Certidão Negativa de Débitos relativos a Créditos Tributários Federais e à Dívida Ativa da União (CND);</w:t>
      </w:r>
    </w:p>
    <w:p w14:paraId="582F964A">
      <w:pPr>
        <w:numPr>
          <w:ilvl w:val="2"/>
          <w:numId w:val="28"/>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426"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Certidões que comprovem a regularidade perante as Fazendas Estadual ou Distrital do domicílio ou sede da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w:t>
      </w:r>
    </w:p>
    <w:p w14:paraId="10CA58D0">
      <w:pPr>
        <w:numPr>
          <w:ilvl w:val="2"/>
          <w:numId w:val="28"/>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426"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Certidão de Regularidade do FGTS (CRF); e</w:t>
      </w:r>
    </w:p>
    <w:p w14:paraId="1928B72B">
      <w:pPr>
        <w:numPr>
          <w:ilvl w:val="2"/>
          <w:numId w:val="28"/>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426"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Certidão Negativa de Débitos Trabalhistas (CNDT).</w:t>
      </w:r>
    </w:p>
    <w:p w14:paraId="05F5A91B">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Caso não seja(m) apresentado(s) quaisquer dos documentos de regularidade ou os documentos encaminhados contenham pendências,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terá 10 (dez) dias para sanar a ausência identificada, prazo em que o pagamento correspondente ao mês em referência ficará suspenso.</w:t>
      </w:r>
    </w:p>
    <w:p w14:paraId="1B2362B4">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Caso não seja sanada a pendência no prazo estipulado, estará configurada a não manutenção das condições de habilitação pela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devendo a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 xml:space="preserve"> instaurar processo administrativo para extinção do contrato e comunicar aos órgãos de fiscalização da regularidade fiscal quanto à inadimplência da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sem prejuízo da retomada dos pagamentos pelos fornecimentos efetivamente executados. </w:t>
      </w:r>
    </w:p>
    <w:p w14:paraId="79511571">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Havendo erro na apresentação da Nota Fiscal/Fatura, ou circunstância que impeça a liquidação da despesa, esta ficará sobrestada até que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providencie as medidas saneadoras.</w:t>
      </w:r>
    </w:p>
    <w:p w14:paraId="72AA8C85">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7A6CB304">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Quando do pagamento, deverá ser efetuada a retenção do imposto sobre a renda, nos termos previstos na Instrução Normativa RFB nº 1.234/2012, e alterações posteriores, ou em norma que venha a substituí-la, além de outras retenções previstas na legislação tributária aplicável.</w:t>
      </w:r>
    </w:p>
    <w:p w14:paraId="01039F91">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 </w:t>
      </w:r>
      <w:r>
        <w:rPr>
          <w:rFonts w:eastAsia="Times New Roman" w:asciiTheme="majorHAnsi" w:hAnsiTheme="majorHAnsi" w:cstheme="majorHAnsi"/>
          <w:b/>
          <w:color w:val="000000"/>
          <w:sz w:val="20"/>
          <w:szCs w:val="20"/>
        </w:rPr>
        <w:t xml:space="preserve">CONTRATADA </w:t>
      </w:r>
      <w:r>
        <w:rPr>
          <w:rFonts w:eastAsia="Times New Roman" w:asciiTheme="majorHAnsi" w:hAnsiTheme="majorHAnsi" w:cstheme="majorHAnsi"/>
          <w:color w:val="000000"/>
          <w:sz w:val="20"/>
          <w:szCs w:val="20"/>
        </w:rPr>
        <w:t>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728F4F9">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Nos casos de eventuais atrasos de pagamento, verificados por culpa única e exclusiva da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 xml:space="preserve">, a taxa de atualização financeira sobre os valores devidos à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será calculada mediante a aplicação da seguinte fórmula:</w:t>
      </w:r>
    </w:p>
    <w:p w14:paraId="7ECED0EC">
      <w:pPr>
        <w:widowControl w:val="0"/>
        <w:spacing w:before="120" w:after="0" w:line="240" w:lineRule="auto"/>
        <w:jc w:val="both"/>
        <w:rPr>
          <w:rFonts w:eastAsia="Times New Roman" w:asciiTheme="majorHAnsi" w:hAnsiTheme="majorHAnsi" w:cstheme="majorHAnsi"/>
          <w:color w:val="000000"/>
          <w:sz w:val="20"/>
          <w:szCs w:val="20"/>
        </w:rPr>
      </w:pPr>
    </w:p>
    <w:tbl>
      <w:tblPr>
        <w:tblStyle w:val="128"/>
        <w:tblW w:w="56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8EAADB" w:themeFill="accent1" w:themeFillTint="99"/>
        <w:tblLayout w:type="fixed"/>
        <w:tblCellMar>
          <w:top w:w="0" w:type="dxa"/>
          <w:left w:w="108" w:type="dxa"/>
          <w:bottom w:w="0" w:type="dxa"/>
          <w:right w:w="108" w:type="dxa"/>
        </w:tblCellMar>
      </w:tblPr>
      <w:tblGrid>
        <w:gridCol w:w="5669"/>
      </w:tblGrid>
      <w:tr w14:paraId="0B10E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8EAADB" w:themeFill="accent1" w:themeFillTint="99"/>
          <w:tblCellMar>
            <w:top w:w="0" w:type="dxa"/>
            <w:left w:w="108" w:type="dxa"/>
            <w:bottom w:w="0" w:type="dxa"/>
            <w:right w:w="108" w:type="dxa"/>
          </w:tblCellMar>
        </w:tblPrEx>
        <w:trPr>
          <w:jc w:val="center"/>
        </w:trPr>
        <w:tc>
          <w:tcPr>
            <w:tcW w:w="5669" w:type="dxa"/>
            <w:tcBorders>
              <w:top w:val="single" w:color="3E4756" w:sz="12" w:space="0"/>
              <w:left w:val="single" w:color="3E4756" w:sz="12" w:space="0"/>
              <w:bottom w:val="single" w:color="3E4756" w:sz="12" w:space="0"/>
              <w:right w:val="single" w:color="3E4756" w:sz="12" w:space="0"/>
            </w:tcBorders>
            <w:shd w:val="clear" w:color="auto" w:fill="8EAADB" w:themeFill="accent1" w:themeFillTint="99"/>
            <w:vAlign w:val="center"/>
          </w:tcPr>
          <w:p w14:paraId="274BC646">
            <w:pPr>
              <w:widowControl w:val="0"/>
              <w:autoSpaceDE w:val="0"/>
              <w:autoSpaceDN w:val="0"/>
              <w:spacing w:after="0" w:line="240" w:lineRule="auto"/>
              <w:jc w:val="center"/>
              <w:rPr>
                <w:rFonts w:ascii="Calibri Light" w:hAnsi="Calibri Light" w:eastAsia="Times New Roman" w:cs="Calibri Light"/>
                <w:b/>
                <w:sz w:val="20"/>
                <w:szCs w:val="20"/>
                <w:lang w:val="en-US"/>
              </w:rPr>
            </w:pPr>
            <w:r>
              <w:rPr>
                <w:rFonts w:ascii="Calibri Light" w:hAnsi="Calibri Light" w:eastAsia="Times New Roman" w:cs="Calibri Light"/>
                <w:b/>
                <w:sz w:val="20"/>
                <w:szCs w:val="20"/>
                <w:lang w:val="en-US"/>
              </w:rPr>
              <w:t>EM = I x N x VP</w:t>
            </w:r>
          </w:p>
        </w:tc>
      </w:tr>
    </w:tbl>
    <w:p w14:paraId="7C203E2A">
      <w:pPr>
        <w:widowControl w:val="0"/>
        <w:spacing w:before="120" w:after="0" w:line="240" w:lineRule="auto"/>
        <w:ind w:left="-992" w:right="-1418" w:firstLine="992"/>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Onde:</w:t>
      </w:r>
    </w:p>
    <w:tbl>
      <w:tblPr>
        <w:tblStyle w:val="129"/>
        <w:tblW w:w="5670" w:type="dxa"/>
        <w:jc w:val="center"/>
        <w:tblBorders>
          <w:top w:val="single" w:color="3E4756" w:sz="12" w:space="0"/>
          <w:left w:val="single" w:color="3E4756" w:sz="12" w:space="0"/>
          <w:bottom w:val="single" w:color="3E4756" w:sz="12" w:space="0"/>
          <w:right w:val="single" w:color="3E4756" w:sz="12" w:space="0"/>
          <w:insideH w:val="single" w:color="3E4756" w:sz="12" w:space="0"/>
          <w:insideV w:val="single" w:color="3E4756" w:sz="12" w:space="0"/>
        </w:tblBorders>
        <w:tblLayout w:type="fixed"/>
        <w:tblCellMar>
          <w:top w:w="0" w:type="dxa"/>
          <w:left w:w="108" w:type="dxa"/>
          <w:bottom w:w="0" w:type="dxa"/>
          <w:right w:w="108" w:type="dxa"/>
        </w:tblCellMar>
      </w:tblPr>
      <w:tblGrid>
        <w:gridCol w:w="1119"/>
        <w:gridCol w:w="4551"/>
      </w:tblGrid>
      <w:tr w14:paraId="7F5199B5">
        <w:tblPrEx>
          <w:tblBorders>
            <w:top w:val="single" w:color="3E4756" w:sz="12" w:space="0"/>
            <w:left w:val="single" w:color="3E4756" w:sz="12" w:space="0"/>
            <w:bottom w:val="single" w:color="3E4756" w:sz="12" w:space="0"/>
            <w:right w:val="single" w:color="3E4756" w:sz="12" w:space="0"/>
            <w:insideH w:val="single" w:color="3E4756" w:sz="12" w:space="0"/>
            <w:insideV w:val="single" w:color="3E4756" w:sz="12" w:space="0"/>
          </w:tblBorders>
          <w:tblCellMar>
            <w:top w:w="0" w:type="dxa"/>
            <w:left w:w="108" w:type="dxa"/>
            <w:bottom w:w="0" w:type="dxa"/>
            <w:right w:w="108" w:type="dxa"/>
          </w:tblCellMar>
        </w:tblPrEx>
        <w:trPr>
          <w:trHeight w:val="567" w:hRule="atLeast"/>
          <w:jc w:val="center"/>
        </w:trPr>
        <w:tc>
          <w:tcPr>
            <w:tcW w:w="1119" w:type="dxa"/>
            <w:shd w:val="clear" w:color="auto" w:fill="8EAADB" w:themeFill="accent1" w:themeFillTint="99"/>
            <w:vAlign w:val="center"/>
          </w:tcPr>
          <w:p w14:paraId="595E8A9F">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SIGLA</w:t>
            </w:r>
          </w:p>
        </w:tc>
        <w:tc>
          <w:tcPr>
            <w:tcW w:w="4551" w:type="dxa"/>
            <w:shd w:val="clear" w:color="auto" w:fill="8EAADB" w:themeFill="accent1" w:themeFillTint="99"/>
            <w:vAlign w:val="center"/>
          </w:tcPr>
          <w:p w14:paraId="5D57C573">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SIGNIFICADO/ DESCRIÇÃO</w:t>
            </w:r>
          </w:p>
        </w:tc>
      </w:tr>
      <w:tr w14:paraId="1F796DD6">
        <w:tblPrEx>
          <w:tblBorders>
            <w:top w:val="single" w:color="3E4756" w:sz="12" w:space="0"/>
            <w:left w:val="single" w:color="3E4756" w:sz="12" w:space="0"/>
            <w:bottom w:val="single" w:color="3E4756" w:sz="12" w:space="0"/>
            <w:right w:val="single" w:color="3E4756" w:sz="12" w:space="0"/>
            <w:insideH w:val="single" w:color="3E4756" w:sz="12" w:space="0"/>
            <w:insideV w:val="single" w:color="3E4756" w:sz="12" w:space="0"/>
          </w:tblBorders>
          <w:tblCellMar>
            <w:top w:w="0" w:type="dxa"/>
            <w:left w:w="108" w:type="dxa"/>
            <w:bottom w:w="0" w:type="dxa"/>
            <w:right w:w="108" w:type="dxa"/>
          </w:tblCellMar>
        </w:tblPrEx>
        <w:trPr>
          <w:trHeight w:val="567" w:hRule="atLeast"/>
          <w:jc w:val="center"/>
        </w:trPr>
        <w:tc>
          <w:tcPr>
            <w:tcW w:w="1119" w:type="dxa"/>
            <w:shd w:val="clear" w:color="auto" w:fill="FFFFFF"/>
            <w:vAlign w:val="center"/>
          </w:tcPr>
          <w:p w14:paraId="7971612C">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EM</w:t>
            </w:r>
          </w:p>
        </w:tc>
        <w:tc>
          <w:tcPr>
            <w:tcW w:w="4551" w:type="dxa"/>
            <w:shd w:val="clear" w:color="auto" w:fill="FFFFFF"/>
            <w:vAlign w:val="center"/>
          </w:tcPr>
          <w:p w14:paraId="1D681E4D">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Encargos Moratórios</w:t>
            </w:r>
          </w:p>
        </w:tc>
      </w:tr>
      <w:tr w14:paraId="356F43E1">
        <w:tblPrEx>
          <w:tblBorders>
            <w:top w:val="single" w:color="3E4756" w:sz="12" w:space="0"/>
            <w:left w:val="single" w:color="3E4756" w:sz="12" w:space="0"/>
            <w:bottom w:val="single" w:color="3E4756" w:sz="12" w:space="0"/>
            <w:right w:val="single" w:color="3E4756" w:sz="12" w:space="0"/>
            <w:insideH w:val="single" w:color="3E4756" w:sz="12" w:space="0"/>
            <w:insideV w:val="single" w:color="3E4756" w:sz="12" w:space="0"/>
          </w:tblBorders>
          <w:tblCellMar>
            <w:top w:w="0" w:type="dxa"/>
            <w:left w:w="108" w:type="dxa"/>
            <w:bottom w:w="0" w:type="dxa"/>
            <w:right w:w="108" w:type="dxa"/>
          </w:tblCellMar>
        </w:tblPrEx>
        <w:trPr>
          <w:trHeight w:val="786" w:hRule="atLeast"/>
          <w:jc w:val="center"/>
        </w:trPr>
        <w:tc>
          <w:tcPr>
            <w:tcW w:w="1119" w:type="dxa"/>
            <w:shd w:val="clear" w:color="auto" w:fill="8EAADB" w:themeFill="accent1" w:themeFillTint="99"/>
            <w:vAlign w:val="center"/>
          </w:tcPr>
          <w:p w14:paraId="3FBBFF20">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N</w:t>
            </w:r>
          </w:p>
        </w:tc>
        <w:tc>
          <w:tcPr>
            <w:tcW w:w="4551" w:type="dxa"/>
            <w:shd w:val="clear" w:color="auto" w:fill="8EAADB" w:themeFill="accent1" w:themeFillTint="99"/>
            <w:vAlign w:val="center"/>
          </w:tcPr>
          <w:p w14:paraId="0537E7EE">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Número de dias entre a data prevista para o pagamento e a do efetivo pagamento.</w:t>
            </w:r>
          </w:p>
        </w:tc>
      </w:tr>
      <w:tr w14:paraId="042550BC">
        <w:tblPrEx>
          <w:tblBorders>
            <w:top w:val="single" w:color="3E4756" w:sz="12" w:space="0"/>
            <w:left w:val="single" w:color="3E4756" w:sz="12" w:space="0"/>
            <w:bottom w:val="single" w:color="3E4756" w:sz="12" w:space="0"/>
            <w:right w:val="single" w:color="3E4756" w:sz="12" w:space="0"/>
            <w:insideH w:val="single" w:color="3E4756" w:sz="12" w:space="0"/>
            <w:insideV w:val="single" w:color="3E4756" w:sz="12" w:space="0"/>
          </w:tblBorders>
          <w:tblCellMar>
            <w:top w:w="0" w:type="dxa"/>
            <w:left w:w="108" w:type="dxa"/>
            <w:bottom w:w="0" w:type="dxa"/>
            <w:right w:w="108" w:type="dxa"/>
          </w:tblCellMar>
        </w:tblPrEx>
        <w:trPr>
          <w:trHeight w:val="567" w:hRule="atLeast"/>
          <w:jc w:val="center"/>
        </w:trPr>
        <w:tc>
          <w:tcPr>
            <w:tcW w:w="1119" w:type="dxa"/>
            <w:shd w:val="clear" w:color="auto" w:fill="FFFFFF"/>
            <w:vAlign w:val="center"/>
          </w:tcPr>
          <w:p w14:paraId="6992EC28">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VP</w:t>
            </w:r>
          </w:p>
        </w:tc>
        <w:tc>
          <w:tcPr>
            <w:tcW w:w="4551" w:type="dxa"/>
            <w:shd w:val="clear" w:color="auto" w:fill="FFFFFF"/>
            <w:vAlign w:val="center"/>
          </w:tcPr>
          <w:p w14:paraId="1C36F95A">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Valor da parcela a se paga.</w:t>
            </w:r>
          </w:p>
        </w:tc>
      </w:tr>
      <w:tr w14:paraId="00A38A0F">
        <w:tblPrEx>
          <w:tblBorders>
            <w:top w:val="single" w:color="3E4756" w:sz="12" w:space="0"/>
            <w:left w:val="single" w:color="3E4756" w:sz="12" w:space="0"/>
            <w:bottom w:val="single" w:color="3E4756" w:sz="12" w:space="0"/>
            <w:right w:val="single" w:color="3E4756" w:sz="12" w:space="0"/>
            <w:insideH w:val="single" w:color="3E4756" w:sz="12" w:space="0"/>
            <w:insideV w:val="single" w:color="3E4756" w:sz="12" w:space="0"/>
          </w:tblBorders>
          <w:tblCellMar>
            <w:top w:w="0" w:type="dxa"/>
            <w:left w:w="108" w:type="dxa"/>
            <w:bottom w:w="0" w:type="dxa"/>
            <w:right w:w="108" w:type="dxa"/>
          </w:tblCellMar>
        </w:tblPrEx>
        <w:trPr>
          <w:trHeight w:val="567" w:hRule="atLeast"/>
          <w:jc w:val="center"/>
        </w:trPr>
        <w:tc>
          <w:tcPr>
            <w:tcW w:w="1119" w:type="dxa"/>
            <w:shd w:val="clear" w:color="auto" w:fill="8EAADB" w:themeFill="accent1" w:themeFillTint="99"/>
            <w:vAlign w:val="center"/>
          </w:tcPr>
          <w:p w14:paraId="21A07671">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TX</w:t>
            </w:r>
          </w:p>
        </w:tc>
        <w:tc>
          <w:tcPr>
            <w:tcW w:w="4551" w:type="dxa"/>
            <w:shd w:val="clear" w:color="auto" w:fill="8EAADB" w:themeFill="accent1" w:themeFillTint="99"/>
            <w:vAlign w:val="center"/>
          </w:tcPr>
          <w:p w14:paraId="3F6EBA32">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IPCA</w:t>
            </w:r>
          </w:p>
        </w:tc>
      </w:tr>
      <w:tr w14:paraId="2D976E1A">
        <w:tblPrEx>
          <w:tblBorders>
            <w:top w:val="single" w:color="3E4756" w:sz="12" w:space="0"/>
            <w:left w:val="single" w:color="3E4756" w:sz="12" w:space="0"/>
            <w:bottom w:val="single" w:color="3E4756" w:sz="12" w:space="0"/>
            <w:right w:val="single" w:color="3E4756" w:sz="12" w:space="0"/>
            <w:insideH w:val="single" w:color="3E4756" w:sz="12" w:space="0"/>
            <w:insideV w:val="single" w:color="3E4756" w:sz="12" w:space="0"/>
          </w:tblBorders>
          <w:tblCellMar>
            <w:top w:w="0" w:type="dxa"/>
            <w:left w:w="108" w:type="dxa"/>
            <w:bottom w:w="0" w:type="dxa"/>
            <w:right w:w="108" w:type="dxa"/>
          </w:tblCellMar>
        </w:tblPrEx>
        <w:trPr>
          <w:trHeight w:val="1182" w:hRule="atLeast"/>
          <w:jc w:val="center"/>
        </w:trPr>
        <w:tc>
          <w:tcPr>
            <w:tcW w:w="1119" w:type="dxa"/>
            <w:shd w:val="clear" w:color="auto" w:fill="FFFFFF"/>
            <w:vAlign w:val="center"/>
          </w:tcPr>
          <w:p w14:paraId="44EDD783">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I</w:t>
            </w:r>
          </w:p>
        </w:tc>
        <w:tc>
          <w:tcPr>
            <w:tcW w:w="4551" w:type="dxa"/>
            <w:shd w:val="clear" w:color="auto" w:fill="FFFFFF"/>
            <w:vAlign w:val="center"/>
          </w:tcPr>
          <w:p w14:paraId="7FB3C6F8">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Índice de atualização financeira, assim apurado:</w:t>
            </w:r>
          </w:p>
          <w:p w14:paraId="027FC431">
            <w:pPr>
              <w:widowControl w:val="0"/>
              <w:autoSpaceDE w:val="0"/>
              <w:autoSpaceDN w:val="0"/>
              <w:spacing w:before="120" w:after="0" w:line="240" w:lineRule="auto"/>
              <w:jc w:val="center"/>
              <w:rPr>
                <w:rFonts w:eastAsia="Times New Roman" w:asciiTheme="majorHAnsi" w:hAnsiTheme="majorHAnsi" w:cstheme="majorHAnsi"/>
                <w:b/>
                <w:color w:val="000000"/>
                <w:sz w:val="20"/>
                <w:szCs w:val="20"/>
                <w:lang w:val="en-US"/>
              </w:rPr>
            </w:pPr>
            <w:r>
              <w:rPr>
                <w:rFonts w:eastAsia="Times New Roman" w:asciiTheme="majorHAnsi" w:hAnsiTheme="majorHAnsi" w:cstheme="majorHAnsi"/>
                <w:b/>
                <w:color w:val="000000"/>
                <w:sz w:val="20"/>
                <w:szCs w:val="20"/>
                <w:lang w:val="en-US"/>
              </w:rPr>
              <w:t xml:space="preserve">I = </w:t>
            </w:r>
            <m:oMath>
              <m:f>
                <m:fPr>
                  <m:ctrlPr>
                    <w:rPr>
                      <w:rFonts w:ascii="Cambria Math" w:hAnsi="Cambria Math" w:eastAsia="Cambria Math" w:cstheme="majorHAnsi"/>
                      <w:color w:val="000000"/>
                      <w:sz w:val="20"/>
                      <w:szCs w:val="20"/>
                      <w:lang w:val="en-US"/>
                    </w:rPr>
                  </m:ctrlPr>
                </m:fPr>
                <m:num>
                  <m:r>
                    <m:rPr/>
                    <w:rPr>
                      <w:rFonts w:ascii="Cambria Math" w:hAnsi="Cambria Math" w:eastAsia="Cambria Math" w:cstheme="majorHAnsi"/>
                      <w:color w:val="000000"/>
                      <w:sz w:val="20"/>
                      <w:szCs w:val="20"/>
                      <w:lang w:val="en-US"/>
                    </w:rPr>
                    <m:t>(</m:t>
                  </m:r>
                  <m:f>
                    <m:fPr>
                      <m:ctrlPr>
                        <w:rPr>
                          <w:rFonts w:ascii="Cambria Math" w:hAnsi="Cambria Math" w:eastAsia="Cambria Math" w:cstheme="majorHAnsi"/>
                          <w:color w:val="000000"/>
                          <w:sz w:val="20"/>
                          <w:szCs w:val="20"/>
                          <w:lang w:val="en-US"/>
                        </w:rPr>
                      </m:ctrlPr>
                    </m:fPr>
                    <m:num>
                      <m:r>
                        <m:rPr/>
                        <w:rPr>
                          <w:rFonts w:ascii="Cambria Math" w:hAnsi="Cambria Math" w:eastAsia="Cambria Math" w:cstheme="majorHAnsi"/>
                          <w:color w:val="000000"/>
                          <w:sz w:val="20"/>
                          <w:szCs w:val="20"/>
                          <w:lang w:val="en-US"/>
                        </w:rPr>
                        <m:t>TX</m:t>
                      </m:r>
                      <m:ctrlPr>
                        <w:rPr>
                          <w:rFonts w:ascii="Cambria Math" w:hAnsi="Cambria Math" w:eastAsia="Cambria Math" w:cstheme="majorHAnsi"/>
                          <w:color w:val="000000"/>
                          <w:sz w:val="20"/>
                          <w:szCs w:val="20"/>
                          <w:lang w:val="en-US"/>
                        </w:rPr>
                      </m:ctrlPr>
                    </m:num>
                    <m:den>
                      <m:r>
                        <m:rPr/>
                        <w:rPr>
                          <w:rFonts w:ascii="Cambria Math" w:hAnsi="Cambria Math" w:eastAsia="Cambria Math" w:cstheme="majorHAnsi"/>
                          <w:color w:val="000000"/>
                          <w:sz w:val="20"/>
                          <w:szCs w:val="20"/>
                          <w:lang w:val="en-US"/>
                        </w:rPr>
                        <m:t>100</m:t>
                      </m:r>
                      <m:ctrlPr>
                        <w:rPr>
                          <w:rFonts w:ascii="Cambria Math" w:hAnsi="Cambria Math" w:eastAsia="Cambria Math" w:cstheme="majorHAnsi"/>
                          <w:color w:val="000000"/>
                          <w:sz w:val="20"/>
                          <w:szCs w:val="20"/>
                          <w:lang w:val="en-US"/>
                        </w:rPr>
                      </m:ctrlPr>
                    </m:den>
                  </m:f>
                  <m:r>
                    <m:rPr/>
                    <w:rPr>
                      <w:rFonts w:ascii="Cambria Math" w:hAnsi="Cambria Math" w:eastAsia="Cambria Math" w:cstheme="majorHAnsi"/>
                      <w:color w:val="000000"/>
                      <w:sz w:val="20"/>
                      <w:szCs w:val="20"/>
                      <w:lang w:val="en-US"/>
                    </w:rPr>
                    <m:t>)</m:t>
                  </m:r>
                  <m:ctrlPr>
                    <w:rPr>
                      <w:rFonts w:ascii="Cambria Math" w:hAnsi="Cambria Math" w:eastAsia="Cambria Math" w:cstheme="majorHAnsi"/>
                      <w:color w:val="000000"/>
                      <w:sz w:val="20"/>
                      <w:szCs w:val="20"/>
                      <w:lang w:val="en-US"/>
                    </w:rPr>
                  </m:ctrlPr>
                </m:num>
                <m:den>
                  <m:r>
                    <m:rPr/>
                    <w:rPr>
                      <w:rFonts w:ascii="Cambria Math" w:hAnsi="Cambria Math" w:eastAsia="Cambria Math" w:cstheme="majorHAnsi"/>
                      <w:color w:val="000000"/>
                      <w:sz w:val="20"/>
                      <w:szCs w:val="20"/>
                      <w:lang w:val="en-US"/>
                    </w:rPr>
                    <m:t>365</m:t>
                  </m:r>
                  <m:ctrlPr>
                    <w:rPr>
                      <w:rFonts w:ascii="Cambria Math" w:hAnsi="Cambria Math" w:eastAsia="Cambria Math" w:cstheme="majorHAnsi"/>
                      <w:color w:val="000000"/>
                      <w:sz w:val="20"/>
                      <w:szCs w:val="20"/>
                      <w:lang w:val="en-US"/>
                    </w:rPr>
                  </m:ctrlPr>
                </m:den>
              </m:f>
            </m:oMath>
          </w:p>
        </w:tc>
      </w:tr>
    </w:tbl>
    <w:p w14:paraId="5F5202B9">
      <w:pPr>
        <w:numPr>
          <w:ilvl w:val="1"/>
          <w:numId w:val="28"/>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atualização financeira será incluída na Nota Fiscal/Fatura do mês seguinte ao da ocorrência.</w:t>
      </w:r>
    </w:p>
    <w:p w14:paraId="233C066A">
      <w:pPr>
        <w:numPr>
          <w:ilvl w:val="0"/>
          <w:numId w:val="28"/>
        </w:numPr>
        <w:pBdr>
          <w:top w:val="none" w:color="auto" w:sz="0" w:space="0"/>
          <w:left w:val="none" w:color="auto" w:sz="0" w:space="0"/>
          <w:bottom w:val="none" w:color="auto" w:sz="0" w:space="0"/>
          <w:right w:val="none" w:color="auto" w:sz="0" w:space="0"/>
          <w:between w:val="none" w:color="auto" w:sz="0" w:space="0"/>
        </w:pBdr>
        <w:shd w:val="clear" w:color="auto" w:fill="8EAADB" w:themeFill="accent1" w:themeFillTint="99"/>
        <w:tabs>
          <w:tab w:val="left" w:pos="0"/>
          <w:tab w:val="left" w:pos="142"/>
          <w:tab w:val="left" w:pos="284"/>
        </w:tabs>
        <w:spacing w:before="360" w:after="0" w:line="240" w:lineRule="auto"/>
        <w:ind w:left="0" w:firstLine="0"/>
        <w:jc w:val="both"/>
        <w:rPr>
          <w:rFonts w:eastAsia="Times New Roman" w:asciiTheme="majorHAnsi" w:hAnsiTheme="majorHAnsi" w:cstheme="majorHAnsi"/>
          <w:b/>
          <w:color w:val="000000"/>
          <w:sz w:val="20"/>
          <w:szCs w:val="20"/>
        </w:rPr>
      </w:pPr>
      <w:bookmarkStart w:id="10" w:name="_heading=h.t2srkp34306b" w:colFirst="0" w:colLast="0"/>
      <w:bookmarkEnd w:id="10"/>
      <w:r>
        <w:rPr>
          <w:rFonts w:eastAsia="Times New Roman" w:asciiTheme="majorHAnsi" w:hAnsiTheme="majorHAnsi" w:cstheme="majorHAnsi"/>
          <w:b/>
          <w:color w:val="000000"/>
          <w:sz w:val="20"/>
          <w:szCs w:val="20"/>
        </w:rPr>
        <w:t xml:space="preserve">  DAS SANÇÕES GERAIS E ESPECÍFICAS APLICÁVEIS À CONTRATAÇÃO</w:t>
      </w:r>
    </w:p>
    <w:p w14:paraId="18885E50">
      <w:pPr>
        <w:numPr>
          <w:ilvl w:val="1"/>
          <w:numId w:val="29"/>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before="24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 xml:space="preserve"> SANÇÕES A SEREM APLICADAS NA FASE DE LICITAÇÃO</w:t>
      </w:r>
    </w:p>
    <w:p w14:paraId="4FAEC939">
      <w:pPr>
        <w:numPr>
          <w:ilvl w:val="2"/>
          <w:numId w:val="30"/>
        </w:num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disposições sobre as sanções administrativas aplicáveis durante a licitação e aquelas praticadas no período situado entre a adjudicação e assinatura da ata de registro de preços serão prevista no Edital do presente certame.</w:t>
      </w:r>
    </w:p>
    <w:p w14:paraId="4CBFD049">
      <w:pPr>
        <w:pBdr>
          <w:top w:val="none" w:color="auto" w:sz="0" w:space="0"/>
          <w:left w:val="none" w:color="auto" w:sz="0" w:space="0"/>
          <w:bottom w:val="none" w:color="auto" w:sz="0" w:space="0"/>
          <w:right w:val="none" w:color="auto" w:sz="0" w:space="0"/>
          <w:between w:val="none" w:color="auto" w:sz="0" w:space="0"/>
        </w:pBdr>
        <w:tabs>
          <w:tab w:val="left" w:pos="1134"/>
        </w:tabs>
        <w:spacing w:before="120" w:after="0" w:line="240" w:lineRule="auto"/>
        <w:ind w:left="567"/>
        <w:jc w:val="both"/>
        <w:rPr>
          <w:rFonts w:eastAsia="Times New Roman" w:asciiTheme="majorHAnsi" w:hAnsiTheme="majorHAnsi" w:cstheme="majorHAnsi"/>
          <w:color w:val="000000"/>
          <w:sz w:val="20"/>
          <w:szCs w:val="20"/>
        </w:rPr>
      </w:pPr>
    </w:p>
    <w:p w14:paraId="5665FFC4">
      <w:pPr>
        <w:numPr>
          <w:ilvl w:val="1"/>
          <w:numId w:val="30"/>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SANÇÕES A SEREM APLICADAS NA EXECUÇÃO DA ATA</w:t>
      </w:r>
    </w:p>
    <w:p w14:paraId="1B1456F7">
      <w:pPr>
        <w:numPr>
          <w:ilvl w:val="2"/>
          <w:numId w:val="30"/>
        </w:numPr>
        <w:pBdr>
          <w:top w:val="none" w:color="auto" w:sz="0" w:space="0"/>
          <w:left w:val="none" w:color="auto" w:sz="0" w:space="0"/>
          <w:bottom w:val="none" w:color="auto" w:sz="0" w:space="0"/>
          <w:right w:val="none" w:color="auto" w:sz="0" w:space="0"/>
          <w:between w:val="none" w:color="auto" w:sz="0" w:space="0"/>
        </w:pBdr>
        <w:tabs>
          <w:tab w:val="left" w:pos="567"/>
        </w:tabs>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disposições sobre sanções administrativas aplicáveis em relação à detentora da ata de registro de preços estarão previstas na minuta da ata de registro de preços, anexo do Edital do presente processo.</w:t>
      </w:r>
    </w:p>
    <w:p w14:paraId="2B573FE4">
      <w:pPr>
        <w:pBdr>
          <w:top w:val="none" w:color="auto" w:sz="0" w:space="0"/>
          <w:left w:val="none" w:color="auto" w:sz="0" w:space="0"/>
          <w:bottom w:val="none" w:color="auto" w:sz="0" w:space="0"/>
          <w:right w:val="none" w:color="auto" w:sz="0" w:space="0"/>
          <w:between w:val="none" w:color="auto" w:sz="0" w:space="0"/>
        </w:pBdr>
        <w:tabs>
          <w:tab w:val="left" w:pos="567"/>
          <w:tab w:val="left" w:pos="993"/>
        </w:tabs>
        <w:spacing w:before="120" w:after="0" w:line="240" w:lineRule="auto"/>
        <w:ind w:left="426"/>
        <w:jc w:val="both"/>
        <w:rPr>
          <w:rFonts w:eastAsia="Times New Roman" w:asciiTheme="majorHAnsi" w:hAnsiTheme="majorHAnsi" w:cstheme="majorHAnsi"/>
          <w:color w:val="000000"/>
          <w:sz w:val="20"/>
          <w:szCs w:val="20"/>
        </w:rPr>
      </w:pPr>
    </w:p>
    <w:p w14:paraId="18428EE6">
      <w:pPr>
        <w:numPr>
          <w:ilvl w:val="1"/>
          <w:numId w:val="30"/>
        </w:numPr>
        <w:pBdr>
          <w:top w:val="none" w:color="auto" w:sz="0" w:space="0"/>
          <w:left w:val="none" w:color="auto" w:sz="0" w:space="0"/>
          <w:bottom w:val="none" w:color="auto" w:sz="0" w:space="0"/>
          <w:right w:val="none" w:color="auto" w:sz="0" w:space="0"/>
          <w:between w:val="none" w:color="auto" w:sz="0" w:space="0"/>
        </w:pBdr>
        <w:tabs>
          <w:tab w:val="left" w:pos="426"/>
        </w:tabs>
        <w:spacing w:before="120" w:after="0" w:line="240" w:lineRule="auto"/>
        <w:ind w:left="0" w:firstLine="0"/>
        <w:jc w:val="both"/>
        <w:rPr>
          <w:rFonts w:eastAsia="Times New Roman" w:asciiTheme="majorHAnsi" w:hAnsiTheme="majorHAnsi" w:cstheme="majorHAnsi"/>
          <w:b/>
          <w:color w:val="000000"/>
          <w:sz w:val="20"/>
          <w:szCs w:val="20"/>
        </w:rPr>
      </w:pPr>
      <w:r>
        <w:rPr>
          <w:rFonts w:eastAsia="Times New Roman" w:asciiTheme="majorHAnsi" w:hAnsiTheme="majorHAnsi" w:cstheme="majorHAnsi"/>
          <w:b/>
          <w:color w:val="000000"/>
          <w:sz w:val="20"/>
          <w:szCs w:val="20"/>
        </w:rPr>
        <w:t>DAS SANÇÕES A SEREM APLICADAS DURANTE A CONTRATAÇÃO</w:t>
      </w:r>
    </w:p>
    <w:p w14:paraId="353903C3">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Comete infração administrativa, nos termos da Lei nº 14.133, de 2021,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que:</w:t>
      </w:r>
    </w:p>
    <w:p w14:paraId="5844DBB5">
      <w:pPr>
        <w:pBdr>
          <w:top w:val="none" w:color="auto" w:sz="0" w:space="0"/>
          <w:left w:val="none" w:color="auto" w:sz="0" w:space="0"/>
          <w:bottom w:val="none" w:color="auto" w:sz="0" w:space="0"/>
          <w:right w:val="none" w:color="auto" w:sz="0" w:space="0"/>
          <w:between w:val="none" w:color="auto" w:sz="0" w:space="0"/>
        </w:pBdr>
        <w:spacing w:after="0" w:line="240" w:lineRule="auto"/>
        <w:ind w:left="567"/>
        <w:jc w:val="both"/>
        <w:rPr>
          <w:rFonts w:eastAsia="Times New Roman" w:asciiTheme="majorHAnsi" w:hAnsiTheme="majorHAnsi" w:cstheme="majorHAnsi"/>
          <w:color w:val="000000"/>
          <w:sz w:val="20"/>
          <w:szCs w:val="20"/>
        </w:rPr>
      </w:pPr>
    </w:p>
    <w:p w14:paraId="0E93419F">
      <w:pPr>
        <w:pBdr>
          <w:top w:val="none" w:color="auto" w:sz="0" w:space="0"/>
          <w:left w:val="none" w:color="auto" w:sz="0" w:space="0"/>
          <w:bottom w:val="none" w:color="auto" w:sz="0" w:space="0"/>
          <w:right w:val="none" w:color="auto" w:sz="0" w:space="0"/>
          <w:between w:val="none" w:color="auto" w:sz="0" w:space="0"/>
        </w:pBdr>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 der causa à inexecução parcial da contratação, deixando de cumprir as obrigações assumidas no presente instrumento;</w:t>
      </w:r>
    </w:p>
    <w:p w14:paraId="482FDE95">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b) der causa à inexecução parcial da </w:t>
      </w:r>
      <w:r>
        <w:rPr>
          <w:rFonts w:eastAsia="Times New Roman" w:asciiTheme="majorHAnsi" w:hAnsiTheme="majorHAnsi" w:cstheme="majorHAnsi"/>
          <w:b/>
          <w:color w:val="000000"/>
          <w:sz w:val="20"/>
          <w:szCs w:val="20"/>
        </w:rPr>
        <w:t>CONTRATAÇÃO</w:t>
      </w:r>
      <w:r>
        <w:rPr>
          <w:rFonts w:eastAsia="Times New Roman" w:asciiTheme="majorHAnsi" w:hAnsiTheme="majorHAnsi" w:cstheme="majorHAnsi"/>
          <w:color w:val="000000"/>
          <w:sz w:val="20"/>
          <w:szCs w:val="20"/>
        </w:rPr>
        <w:t xml:space="preserve"> que cause grave dano à Administração ou ao funcionamento dos serviços públicos ou ao interesse coletivo;</w:t>
      </w:r>
    </w:p>
    <w:p w14:paraId="76DB0182">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c) der causa à inexecução total da contratação;</w:t>
      </w:r>
    </w:p>
    <w:p w14:paraId="2C3AD3DC">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d) ensejar o retardamento da execução ou da entrega do objeto da contratação sem motivo justificado;</w:t>
      </w:r>
    </w:p>
    <w:p w14:paraId="547F21CE">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e) apresentar documentação falsa ou prestar declaração falsa durante a execução da contratação;</w:t>
      </w:r>
    </w:p>
    <w:p w14:paraId="1EBCF58D">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f) praticar ato fraudulento na execução da contratação;</w:t>
      </w:r>
    </w:p>
    <w:p w14:paraId="7EF953F7">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g) comportar-se de modo inidôneo ou cometer fraude de qualquer natureza;</w:t>
      </w:r>
    </w:p>
    <w:p w14:paraId="5F8F05B8">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after="0" w:line="240" w:lineRule="auto"/>
        <w:ind w:left="567"/>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h) praticar ato lesivo previsto no art. 5º da Lei nº 12.846, de 1º de agosto de 2013.</w:t>
      </w:r>
    </w:p>
    <w:p w14:paraId="5CBC2181">
      <w:pPr>
        <w:pBdr>
          <w:top w:val="none" w:color="auto" w:sz="0" w:space="0"/>
          <w:left w:val="none" w:color="auto" w:sz="0" w:space="0"/>
          <w:bottom w:val="none" w:color="auto" w:sz="0" w:space="0"/>
          <w:right w:val="none" w:color="auto" w:sz="0" w:space="0"/>
          <w:between w:val="none" w:color="auto" w:sz="0" w:space="0"/>
        </w:pBdr>
        <w:tabs>
          <w:tab w:val="left" w:pos="567"/>
          <w:tab w:val="left" w:pos="851"/>
        </w:tabs>
        <w:spacing w:before="120" w:after="0" w:line="240" w:lineRule="auto"/>
        <w:ind w:left="567"/>
        <w:jc w:val="both"/>
        <w:rPr>
          <w:rFonts w:eastAsia="Times New Roman" w:asciiTheme="majorHAnsi" w:hAnsiTheme="majorHAnsi" w:cstheme="majorHAnsi"/>
          <w:color w:val="000000"/>
          <w:sz w:val="20"/>
          <w:szCs w:val="20"/>
        </w:rPr>
      </w:pPr>
    </w:p>
    <w:p w14:paraId="36F158E8">
      <w:pPr>
        <w:numPr>
          <w:ilvl w:val="2"/>
          <w:numId w:val="30"/>
        </w:numPr>
        <w:pBdr>
          <w:top w:val="none" w:color="auto" w:sz="0" w:space="0"/>
          <w:left w:val="none" w:color="auto" w:sz="0" w:space="0"/>
          <w:bottom w:val="none" w:color="auto" w:sz="0" w:space="0"/>
          <w:right w:val="none" w:color="auto" w:sz="0" w:space="0"/>
          <w:between w:val="none" w:color="auto" w:sz="0" w:space="0"/>
        </w:pBdr>
        <w:spacing w:after="0"/>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Será aplicável a sanção de advertência quando a CONTRATADA descumprir deveres instrumentais ou der causa à inexecução parcial da contratação que não acarrete dano à Administração e que não justifique a imposição de penalidade mais grave, em especial pelo descumprimento das obrigações previstas nos itens I, J, K, M, P do item de “Obrigações da Contratada”.</w:t>
      </w:r>
    </w:p>
    <w:p w14:paraId="072227D4">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Será aplicada multa moratória em razão do atraso no cumprimento das obrigações previstas na contratação, em especial as elencadas nos subitens </w:t>
      </w:r>
      <w:r>
        <w:rPr>
          <w:rFonts w:eastAsia="Times New Roman" w:asciiTheme="majorHAnsi" w:hAnsiTheme="majorHAnsi" w:cstheme="majorHAnsi"/>
          <w:b/>
          <w:color w:val="000000"/>
          <w:sz w:val="20"/>
          <w:szCs w:val="20"/>
        </w:rPr>
        <w:t>D</w:t>
      </w:r>
      <w:r>
        <w:rPr>
          <w:rFonts w:eastAsia="Times New Roman" w:asciiTheme="majorHAnsi" w:hAnsiTheme="majorHAnsi" w:cstheme="majorHAnsi"/>
          <w:color w:val="000000"/>
          <w:sz w:val="20"/>
          <w:szCs w:val="20"/>
        </w:rPr>
        <w:t xml:space="preserve"> e </w:t>
      </w:r>
      <w:r>
        <w:rPr>
          <w:rFonts w:eastAsia="Times New Roman" w:asciiTheme="majorHAnsi" w:hAnsiTheme="majorHAnsi" w:cstheme="majorHAnsi"/>
          <w:b/>
          <w:color w:val="000000"/>
          <w:sz w:val="20"/>
          <w:szCs w:val="20"/>
        </w:rPr>
        <w:t>E</w:t>
      </w:r>
      <w:r>
        <w:rPr>
          <w:rFonts w:eastAsia="Times New Roman" w:asciiTheme="majorHAnsi" w:hAnsiTheme="majorHAnsi" w:cstheme="majorHAnsi"/>
          <w:color w:val="000000"/>
          <w:sz w:val="20"/>
          <w:szCs w:val="20"/>
        </w:rPr>
        <w:t xml:space="preserve"> das “</w:t>
      </w:r>
      <w:r>
        <w:rPr>
          <w:rFonts w:eastAsia="Times New Roman" w:asciiTheme="majorHAnsi" w:hAnsiTheme="majorHAnsi" w:cstheme="majorHAnsi"/>
          <w:b/>
          <w:color w:val="000000"/>
          <w:sz w:val="20"/>
          <w:szCs w:val="20"/>
        </w:rPr>
        <w:t>Obrigações da Contratada</w:t>
      </w:r>
      <w:r>
        <w:rPr>
          <w:rFonts w:eastAsia="Times New Roman" w:asciiTheme="majorHAnsi" w:hAnsiTheme="majorHAnsi" w:cstheme="majorHAnsi"/>
          <w:color w:val="000000"/>
          <w:sz w:val="20"/>
          <w:szCs w:val="20"/>
        </w:rPr>
        <w:t>”, no percentual de até 0,5% (cinco décimos por cento) ao dia, a ser calculada sobre o valor da parcela inadimplida, a partir do dia subsequente ao prazo estipulado para adimplemento da obrigação, independentemente de notificação do contratado para constituição em mora.</w:t>
      </w:r>
    </w:p>
    <w:p w14:paraId="36AF7B9E">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Após o 30º (trigésimo) dia de atraso injustificado, configura-se o descumprimento total da obrigação e a multa moratória se converterá em multa compensatória, a ser calculada no percentual de 15% (quinze por cento) a 30% (trinta por cento) sobre o valor da parcela inadimplida, podendo dar ensejo à extinção do contrato e aplicação da penalidade de impedimento, se configurado grave dano à Administração.</w:t>
      </w:r>
    </w:p>
    <w:p w14:paraId="657612F5">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 penalidade de multa compensatória será aplicada nos casos de descumprimento das obrigações contratuais pela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sempre que deles decorrer inexecução parcial da contratação que cause grave dano à Administração, ao funcionamento dos serviços públicos ou ao interesse coletivo, bem como retardamento injustificado à execução ou entrega do objeto contratado, nos termos das alíneas “b” e “d”, respectivamente, do Item 9.3.1, de acordo com as seguintes regras:</w:t>
      </w:r>
    </w:p>
    <w:p w14:paraId="1B0BF540">
      <w:pPr>
        <w:pBdr>
          <w:top w:val="none" w:color="auto" w:sz="0" w:space="0"/>
          <w:left w:val="none" w:color="auto" w:sz="0" w:space="0"/>
          <w:bottom w:val="none" w:color="auto" w:sz="0" w:space="0"/>
          <w:right w:val="none" w:color="auto" w:sz="0" w:space="0"/>
          <w:between w:val="none" w:color="auto" w:sz="0" w:space="0"/>
        </w:pBdr>
        <w:spacing w:after="0" w:line="240" w:lineRule="auto"/>
        <w:ind w:left="567"/>
        <w:jc w:val="both"/>
        <w:rPr>
          <w:rFonts w:eastAsia="Times New Roman" w:asciiTheme="majorHAnsi" w:hAnsiTheme="majorHAnsi" w:cstheme="majorHAnsi"/>
          <w:color w:val="000000"/>
          <w:sz w:val="20"/>
          <w:szCs w:val="20"/>
        </w:rPr>
      </w:pPr>
    </w:p>
    <w:p w14:paraId="7EFA29AB">
      <w:pPr>
        <w:numPr>
          <w:ilvl w:val="1"/>
          <w:numId w:val="31"/>
        </w:numPr>
        <w:pBdr>
          <w:top w:val="none" w:color="auto" w:sz="0" w:space="0"/>
          <w:left w:val="none" w:color="auto" w:sz="0" w:space="0"/>
          <w:bottom w:val="none" w:color="auto" w:sz="0" w:space="0"/>
          <w:right w:val="none" w:color="auto" w:sz="0" w:space="0"/>
          <w:between w:val="none" w:color="auto" w:sz="0" w:space="0"/>
        </w:pBdr>
        <w:spacing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              1% (um por cento) a 5% (cinco por cento) sobre do valor total da contratação a ser aplicada a quem sofreu a penalidade de advertência e reincidiu pelo(s) mesmo(s) motivo(s);</w:t>
      </w:r>
    </w:p>
    <w:p w14:paraId="081C2282">
      <w:pPr>
        <w:numPr>
          <w:ilvl w:val="1"/>
          <w:numId w:val="31"/>
        </w:numPr>
        <w:pBdr>
          <w:top w:val="none" w:color="auto" w:sz="0" w:space="0"/>
          <w:left w:val="none" w:color="auto" w:sz="0" w:space="0"/>
          <w:bottom w:val="none" w:color="auto" w:sz="0" w:space="0"/>
          <w:right w:val="none" w:color="auto" w:sz="0" w:space="0"/>
          <w:between w:val="none" w:color="auto" w:sz="0" w:space="0"/>
        </w:pBdr>
        <w:spacing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10% (dez por cento) a 20% (vinte por cento), calculada sobre o valor da entrega/remessa inadimplida, a ser aplicada quando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descumprir a obrigação prevista nos subitens </w:t>
      </w:r>
      <w:r>
        <w:rPr>
          <w:rFonts w:eastAsia="Times New Roman" w:asciiTheme="majorHAnsi" w:hAnsiTheme="majorHAnsi" w:cstheme="majorHAnsi"/>
          <w:b/>
          <w:color w:val="000000"/>
          <w:sz w:val="20"/>
          <w:szCs w:val="20"/>
        </w:rPr>
        <w:t>A, B</w:t>
      </w:r>
      <w:r>
        <w:rPr>
          <w:rFonts w:eastAsia="Times New Roman" w:asciiTheme="majorHAnsi" w:hAnsiTheme="majorHAnsi" w:cstheme="majorHAnsi"/>
          <w:color w:val="000000"/>
          <w:sz w:val="20"/>
          <w:szCs w:val="20"/>
        </w:rPr>
        <w:t xml:space="preserve"> e C das </w:t>
      </w:r>
      <w:r>
        <w:rPr>
          <w:rFonts w:eastAsia="Times New Roman" w:asciiTheme="majorHAnsi" w:hAnsiTheme="majorHAnsi" w:cstheme="majorHAnsi"/>
          <w:b/>
          <w:color w:val="000000"/>
          <w:sz w:val="20"/>
          <w:szCs w:val="20"/>
        </w:rPr>
        <w:t xml:space="preserve">“Obrigações da Contratada” </w:t>
      </w:r>
      <w:r>
        <w:rPr>
          <w:rFonts w:eastAsia="Times New Roman" w:asciiTheme="majorHAnsi" w:hAnsiTheme="majorHAnsi" w:cstheme="majorHAnsi"/>
          <w:color w:val="000000"/>
          <w:sz w:val="20"/>
          <w:szCs w:val="20"/>
        </w:rPr>
        <w:t>quando a situação não se enquadrar em obrigação contratual específica</w:t>
      </w:r>
      <w:r>
        <w:rPr>
          <w:rFonts w:eastAsia="Times New Roman" w:asciiTheme="majorHAnsi" w:hAnsiTheme="majorHAnsi" w:cstheme="majorHAnsi"/>
          <w:b/>
          <w:color w:val="000000"/>
          <w:sz w:val="20"/>
          <w:szCs w:val="20"/>
        </w:rPr>
        <w:t>;</w:t>
      </w:r>
    </w:p>
    <w:p w14:paraId="52FA87E5">
      <w:pPr>
        <w:numPr>
          <w:ilvl w:val="1"/>
          <w:numId w:val="31"/>
        </w:numPr>
        <w:pBdr>
          <w:top w:val="none" w:color="auto" w:sz="0" w:space="0"/>
          <w:left w:val="none" w:color="auto" w:sz="0" w:space="0"/>
          <w:bottom w:val="none" w:color="auto" w:sz="0" w:space="0"/>
          <w:right w:val="none" w:color="auto" w:sz="0" w:space="0"/>
          <w:between w:val="none" w:color="auto" w:sz="0" w:space="0"/>
        </w:pBdr>
        <w:spacing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0,5% (cinco décimos por cento) a 2% (dois por cento), calculada sobre o valor da parcela/remessa ou sobre o valor mensal da entrega, a ser aplicada quando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descumprir a obrigação prevista no subitem </w:t>
      </w:r>
      <w:r>
        <w:rPr>
          <w:rFonts w:eastAsia="Times New Roman" w:asciiTheme="majorHAnsi" w:hAnsiTheme="majorHAnsi" w:cstheme="majorHAnsi"/>
          <w:b/>
          <w:color w:val="000000"/>
          <w:sz w:val="20"/>
          <w:szCs w:val="20"/>
        </w:rPr>
        <w:t xml:space="preserve">F </w:t>
      </w:r>
      <w:r>
        <w:rPr>
          <w:rFonts w:eastAsia="Times New Roman" w:asciiTheme="majorHAnsi" w:hAnsiTheme="majorHAnsi" w:cstheme="majorHAnsi"/>
          <w:color w:val="000000"/>
          <w:sz w:val="20"/>
          <w:szCs w:val="20"/>
        </w:rPr>
        <w:t xml:space="preserve">das </w:t>
      </w:r>
      <w:r>
        <w:rPr>
          <w:rFonts w:eastAsia="Times New Roman" w:asciiTheme="majorHAnsi" w:hAnsiTheme="majorHAnsi" w:cstheme="majorHAnsi"/>
          <w:b/>
          <w:color w:val="000000"/>
          <w:sz w:val="20"/>
          <w:szCs w:val="20"/>
        </w:rPr>
        <w:t>“Obrigações da Contratada”;</w:t>
      </w:r>
    </w:p>
    <w:p w14:paraId="7AB79E4C">
      <w:pPr>
        <w:numPr>
          <w:ilvl w:val="1"/>
          <w:numId w:val="31"/>
        </w:numPr>
        <w:pBdr>
          <w:top w:val="none" w:color="auto" w:sz="0" w:space="0"/>
          <w:left w:val="none" w:color="auto" w:sz="0" w:space="0"/>
          <w:bottom w:val="none" w:color="auto" w:sz="0" w:space="0"/>
          <w:right w:val="none" w:color="auto" w:sz="0" w:space="0"/>
          <w:between w:val="none" w:color="auto" w:sz="0" w:space="0"/>
        </w:pBdr>
        <w:spacing w:after="0" w:line="240" w:lineRule="auto"/>
        <w:ind w:left="567" w:firstLine="0"/>
        <w:jc w:val="both"/>
        <w:rPr>
          <w:rFonts w:eastAsia="Times New Roman" w:asciiTheme="majorHAnsi" w:hAnsiTheme="majorHAnsi" w:cstheme="majorHAnsi"/>
          <w:color w:val="000000"/>
          <w:sz w:val="20"/>
          <w:szCs w:val="20"/>
        </w:rPr>
      </w:pPr>
      <w:bookmarkStart w:id="11" w:name="_heading=h.teunr8m5s1kt" w:colFirst="0" w:colLast="0"/>
      <w:bookmarkEnd w:id="11"/>
      <w:r>
        <w:rPr>
          <w:rFonts w:eastAsia="Times New Roman" w:asciiTheme="majorHAnsi" w:hAnsiTheme="majorHAnsi" w:cstheme="majorHAnsi"/>
          <w:color w:val="000000"/>
          <w:sz w:val="20"/>
          <w:szCs w:val="20"/>
        </w:rPr>
        <w:t>5% (cinco por cento) a 10% (dez por cento), calculada sobre o valor da parcela</w:t>
      </w:r>
      <w:r>
        <w:rPr>
          <w:rFonts w:eastAsia="Times New Roman" w:asciiTheme="majorHAnsi" w:hAnsiTheme="majorHAnsi" w:cstheme="majorHAnsi"/>
          <w:b/>
          <w:color w:val="000000"/>
          <w:sz w:val="20"/>
          <w:szCs w:val="20"/>
        </w:rPr>
        <w:t>,</w:t>
      </w:r>
      <w:r>
        <w:rPr>
          <w:rFonts w:eastAsia="Times New Roman" w:asciiTheme="majorHAnsi" w:hAnsiTheme="majorHAnsi" w:cstheme="majorHAnsi"/>
          <w:color w:val="000000"/>
          <w:sz w:val="20"/>
          <w:szCs w:val="20"/>
        </w:rPr>
        <w:t xml:space="preserve"> quando a </w:t>
      </w:r>
      <w:r>
        <w:rPr>
          <w:rFonts w:eastAsia="Times New Roman" w:asciiTheme="majorHAnsi" w:hAnsiTheme="majorHAnsi" w:cstheme="majorHAnsi"/>
          <w:b/>
          <w:color w:val="000000"/>
          <w:sz w:val="20"/>
          <w:szCs w:val="20"/>
        </w:rPr>
        <w:t xml:space="preserve">CONTRATADA </w:t>
      </w:r>
      <w:r>
        <w:rPr>
          <w:rFonts w:eastAsia="Times New Roman" w:asciiTheme="majorHAnsi" w:hAnsiTheme="majorHAnsi" w:cstheme="majorHAnsi"/>
          <w:color w:val="000000"/>
          <w:sz w:val="20"/>
          <w:szCs w:val="20"/>
        </w:rPr>
        <w:t xml:space="preserve">deixar de cumprir a obrigação prevista no subitem </w:t>
      </w:r>
      <w:r>
        <w:rPr>
          <w:rFonts w:eastAsia="Times New Roman" w:asciiTheme="majorHAnsi" w:hAnsiTheme="majorHAnsi" w:cstheme="majorHAnsi"/>
          <w:b/>
          <w:color w:val="000000"/>
          <w:sz w:val="20"/>
          <w:szCs w:val="20"/>
        </w:rPr>
        <w:t xml:space="preserve">G </w:t>
      </w:r>
      <w:r>
        <w:rPr>
          <w:rFonts w:eastAsia="Times New Roman" w:asciiTheme="majorHAnsi" w:hAnsiTheme="majorHAnsi" w:cstheme="majorHAnsi"/>
          <w:color w:val="000000"/>
          <w:sz w:val="20"/>
          <w:szCs w:val="20"/>
        </w:rPr>
        <w:t xml:space="preserve">das </w:t>
      </w:r>
      <w:r>
        <w:rPr>
          <w:rFonts w:eastAsia="Times New Roman" w:asciiTheme="majorHAnsi" w:hAnsiTheme="majorHAnsi" w:cstheme="majorHAnsi"/>
          <w:b/>
          <w:color w:val="000000"/>
          <w:sz w:val="20"/>
          <w:szCs w:val="20"/>
        </w:rPr>
        <w:t>“Obrigações da Contratada”;</w:t>
      </w:r>
    </w:p>
    <w:p w14:paraId="03219D6C">
      <w:pPr>
        <w:numPr>
          <w:ilvl w:val="1"/>
          <w:numId w:val="31"/>
        </w:numPr>
        <w:pBdr>
          <w:top w:val="none" w:color="auto" w:sz="0" w:space="0"/>
          <w:left w:val="none" w:color="auto" w:sz="0" w:space="0"/>
          <w:bottom w:val="none" w:color="auto" w:sz="0" w:space="0"/>
          <w:right w:val="none" w:color="auto" w:sz="0" w:space="0"/>
          <w:between w:val="none" w:color="auto" w:sz="0" w:space="0"/>
        </w:pBdr>
        <w:spacing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5% (cinco por cento) a 10% (dez por cento), calculada sobre o valor da parcela transferida, a ser aplicada quando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descumprir a obrigação prevista no subitem </w:t>
      </w:r>
      <w:r>
        <w:rPr>
          <w:rFonts w:eastAsia="Times New Roman" w:asciiTheme="majorHAnsi" w:hAnsiTheme="majorHAnsi" w:cstheme="majorHAnsi"/>
          <w:b/>
          <w:color w:val="000000"/>
          <w:sz w:val="20"/>
          <w:szCs w:val="20"/>
        </w:rPr>
        <w:t>H</w:t>
      </w:r>
      <w:r>
        <w:rPr>
          <w:rFonts w:eastAsia="Times New Roman" w:asciiTheme="majorHAnsi" w:hAnsiTheme="majorHAnsi" w:cstheme="majorHAnsi"/>
          <w:color w:val="000000"/>
          <w:sz w:val="20"/>
          <w:szCs w:val="20"/>
        </w:rPr>
        <w:t xml:space="preserve"> das </w:t>
      </w:r>
      <w:r>
        <w:rPr>
          <w:rFonts w:eastAsia="Times New Roman" w:asciiTheme="majorHAnsi" w:hAnsiTheme="majorHAnsi" w:cstheme="majorHAnsi"/>
          <w:b/>
          <w:color w:val="000000"/>
          <w:sz w:val="20"/>
          <w:szCs w:val="20"/>
        </w:rPr>
        <w:t>“Obrigações da Contratada”;</w:t>
      </w:r>
    </w:p>
    <w:p w14:paraId="7878A061">
      <w:pPr>
        <w:numPr>
          <w:ilvl w:val="1"/>
          <w:numId w:val="31"/>
        </w:numPr>
        <w:pBdr>
          <w:top w:val="none" w:color="auto" w:sz="0" w:space="0"/>
          <w:left w:val="none" w:color="auto" w:sz="0" w:space="0"/>
          <w:bottom w:val="none" w:color="auto" w:sz="0" w:space="0"/>
          <w:right w:val="none" w:color="auto" w:sz="0" w:space="0"/>
          <w:between w:val="none" w:color="auto" w:sz="0" w:space="0"/>
        </w:pBdr>
        <w:spacing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0,5% (cinco décimos por cento) a 2% (dois por cento), calculada sobre o valor da contratação, a ser aplicada quando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descumprir a obrigação prevista no inciso </w:t>
      </w:r>
      <w:r>
        <w:rPr>
          <w:rFonts w:eastAsia="Times New Roman" w:asciiTheme="majorHAnsi" w:hAnsiTheme="majorHAnsi" w:cstheme="majorHAnsi"/>
          <w:b/>
          <w:color w:val="000000"/>
          <w:sz w:val="20"/>
          <w:szCs w:val="20"/>
        </w:rPr>
        <w:t>N</w:t>
      </w:r>
      <w:r>
        <w:rPr>
          <w:rFonts w:eastAsia="Times New Roman" w:asciiTheme="majorHAnsi" w:hAnsiTheme="majorHAnsi" w:cstheme="majorHAnsi"/>
          <w:color w:val="000000"/>
          <w:sz w:val="20"/>
          <w:szCs w:val="20"/>
        </w:rPr>
        <w:t xml:space="preserve"> das </w:t>
      </w:r>
      <w:r>
        <w:rPr>
          <w:rFonts w:eastAsia="Times New Roman" w:asciiTheme="majorHAnsi" w:hAnsiTheme="majorHAnsi" w:cstheme="majorHAnsi"/>
          <w:b/>
          <w:color w:val="000000"/>
          <w:sz w:val="20"/>
          <w:szCs w:val="20"/>
        </w:rPr>
        <w:t xml:space="preserve">“Obrigações da Contratada”; </w:t>
      </w:r>
      <w:r>
        <w:rPr>
          <w:rFonts w:eastAsia="Times New Roman" w:asciiTheme="majorHAnsi" w:hAnsiTheme="majorHAnsi" w:cstheme="majorHAnsi"/>
          <w:color w:val="000000"/>
          <w:sz w:val="20"/>
          <w:szCs w:val="20"/>
        </w:rPr>
        <w:t>e não sanar a pendência no prazo estipulado</w:t>
      </w:r>
      <w:r>
        <w:rPr>
          <w:rFonts w:eastAsia="Times New Roman" w:asciiTheme="majorHAnsi" w:hAnsiTheme="majorHAnsi" w:cstheme="majorHAnsi"/>
          <w:b/>
          <w:color w:val="000000"/>
          <w:sz w:val="20"/>
          <w:szCs w:val="20"/>
        </w:rPr>
        <w:t>;</w:t>
      </w:r>
    </w:p>
    <w:p w14:paraId="3BFE5FD1">
      <w:pPr>
        <w:numPr>
          <w:ilvl w:val="1"/>
          <w:numId w:val="31"/>
        </w:numPr>
        <w:pBdr>
          <w:top w:val="none" w:color="auto" w:sz="0" w:space="0"/>
          <w:left w:val="none" w:color="auto" w:sz="0" w:space="0"/>
          <w:bottom w:val="none" w:color="auto" w:sz="0" w:space="0"/>
          <w:right w:val="none" w:color="auto" w:sz="0" w:space="0"/>
          <w:between w:val="none" w:color="auto" w:sz="0" w:space="0"/>
        </w:pBdr>
        <w:spacing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1% (um por cento) a 5% (cinco por cento), calculada sobre o valor mensal/parcela da contratação, a ser aplicada quando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descumprir as obrigações previstas nos incisos </w:t>
      </w:r>
      <w:r>
        <w:rPr>
          <w:rFonts w:eastAsia="Times New Roman" w:asciiTheme="majorHAnsi" w:hAnsiTheme="majorHAnsi" w:cstheme="majorHAnsi"/>
          <w:b/>
          <w:color w:val="000000"/>
          <w:sz w:val="20"/>
          <w:szCs w:val="20"/>
        </w:rPr>
        <w:t xml:space="preserve">O </w:t>
      </w:r>
      <w:r>
        <w:rPr>
          <w:rFonts w:eastAsia="Times New Roman" w:asciiTheme="majorHAnsi" w:hAnsiTheme="majorHAnsi" w:cstheme="majorHAnsi"/>
          <w:color w:val="000000"/>
          <w:sz w:val="20"/>
          <w:szCs w:val="20"/>
        </w:rPr>
        <w:t xml:space="preserve">e </w:t>
      </w:r>
      <w:r>
        <w:rPr>
          <w:rFonts w:eastAsia="Times New Roman" w:asciiTheme="majorHAnsi" w:hAnsiTheme="majorHAnsi" w:cstheme="majorHAnsi"/>
          <w:b/>
          <w:color w:val="000000"/>
          <w:sz w:val="20"/>
          <w:szCs w:val="20"/>
        </w:rPr>
        <w:t>P</w:t>
      </w:r>
      <w:r>
        <w:rPr>
          <w:rFonts w:eastAsia="Times New Roman" w:asciiTheme="majorHAnsi" w:hAnsiTheme="majorHAnsi" w:cstheme="majorHAnsi"/>
          <w:color w:val="000000"/>
          <w:sz w:val="20"/>
          <w:szCs w:val="20"/>
        </w:rPr>
        <w:t xml:space="preserve"> das </w:t>
      </w:r>
      <w:r>
        <w:rPr>
          <w:rFonts w:eastAsia="Times New Roman" w:asciiTheme="majorHAnsi" w:hAnsiTheme="majorHAnsi" w:cstheme="majorHAnsi"/>
          <w:b/>
          <w:color w:val="000000"/>
          <w:sz w:val="20"/>
          <w:szCs w:val="20"/>
        </w:rPr>
        <w:t xml:space="preserve">“Obrigações da Contratada”; </w:t>
      </w:r>
    </w:p>
    <w:p w14:paraId="305BFE29">
      <w:pPr>
        <w:numPr>
          <w:ilvl w:val="1"/>
          <w:numId w:val="31"/>
        </w:numPr>
        <w:pBdr>
          <w:top w:val="none" w:color="auto" w:sz="0" w:space="0"/>
          <w:left w:val="none" w:color="auto" w:sz="0" w:space="0"/>
          <w:bottom w:val="none" w:color="auto" w:sz="0" w:space="0"/>
          <w:right w:val="none" w:color="auto" w:sz="0" w:space="0"/>
          <w:between w:val="none" w:color="auto" w:sz="0" w:space="0"/>
        </w:pBdr>
        <w:spacing w:after="0" w:line="240" w:lineRule="auto"/>
        <w:ind w:left="567"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1% (um por cento) a 5% (cinco por cento), calculada sobre o valor da primeira entrega/remessa, a ser aplicada quando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descumprir a obrigação prevista no subitem </w:t>
      </w:r>
      <w:r>
        <w:rPr>
          <w:rFonts w:eastAsia="Times New Roman" w:asciiTheme="majorHAnsi" w:hAnsiTheme="majorHAnsi" w:cstheme="majorHAnsi"/>
          <w:b/>
          <w:color w:val="000000"/>
          <w:sz w:val="20"/>
          <w:szCs w:val="20"/>
        </w:rPr>
        <w:t>K</w:t>
      </w:r>
      <w:r>
        <w:rPr>
          <w:rFonts w:eastAsia="Times New Roman" w:asciiTheme="majorHAnsi" w:hAnsiTheme="majorHAnsi" w:cstheme="majorHAnsi"/>
          <w:color w:val="000000"/>
          <w:sz w:val="20"/>
          <w:szCs w:val="20"/>
        </w:rPr>
        <w:t xml:space="preserve"> das </w:t>
      </w:r>
      <w:r>
        <w:rPr>
          <w:rFonts w:eastAsia="Times New Roman" w:asciiTheme="majorHAnsi" w:hAnsiTheme="majorHAnsi" w:cstheme="majorHAnsi"/>
          <w:b/>
          <w:color w:val="000000"/>
          <w:sz w:val="20"/>
          <w:szCs w:val="20"/>
        </w:rPr>
        <w:t>“Obrigações da Contratada”;</w:t>
      </w:r>
    </w:p>
    <w:p w14:paraId="0E9F873F">
      <w:pPr>
        <w:pBdr>
          <w:top w:val="none" w:color="auto" w:sz="0" w:space="0"/>
          <w:left w:val="none" w:color="auto" w:sz="0" w:space="0"/>
          <w:bottom w:val="none" w:color="auto" w:sz="0" w:space="0"/>
          <w:right w:val="none" w:color="auto" w:sz="0" w:space="0"/>
          <w:between w:val="none" w:color="auto" w:sz="0" w:space="0"/>
        </w:pBdr>
        <w:spacing w:after="0" w:line="240" w:lineRule="auto"/>
        <w:ind w:left="567"/>
        <w:jc w:val="both"/>
        <w:rPr>
          <w:rFonts w:eastAsia="Times New Roman" w:asciiTheme="majorHAnsi" w:hAnsiTheme="majorHAnsi" w:cstheme="majorHAnsi"/>
          <w:color w:val="000000"/>
          <w:sz w:val="20"/>
          <w:szCs w:val="20"/>
        </w:rPr>
      </w:pPr>
    </w:p>
    <w:p w14:paraId="72051886">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As sanções de multa previstas no item</w:t>
      </w:r>
      <w:r>
        <w:rPr>
          <w:rFonts w:eastAsia="Times New Roman" w:asciiTheme="majorHAnsi" w:hAnsiTheme="majorHAnsi" w:cstheme="majorHAnsi"/>
          <w:b/>
          <w:color w:val="000000"/>
          <w:sz w:val="20"/>
          <w:szCs w:val="20"/>
        </w:rPr>
        <w:t xml:space="preserve"> 9.3.5.</w:t>
      </w:r>
      <w:r>
        <w:rPr>
          <w:rFonts w:eastAsia="Times New Roman" w:asciiTheme="majorHAnsi" w:hAnsiTheme="majorHAnsi" w:cstheme="majorHAnsi"/>
          <w:color w:val="000000"/>
          <w:sz w:val="20"/>
          <w:szCs w:val="20"/>
        </w:rPr>
        <w:t xml:space="preserve"> poderão ser aplicadas cumulativamente com a penalidade de impedimento de licitar e contratar com a Administração Direta e Indireta do Estado de Pernambuco, pelo prazo de 06 (seis) a 18 (dezoito) meses.</w:t>
      </w:r>
    </w:p>
    <w:p w14:paraId="14D65F38">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Na hipótese de inexecução total da contratação, prevista na alínea “c” do </w:t>
      </w:r>
      <w:r>
        <w:rPr>
          <w:rFonts w:eastAsia="Times New Roman" w:asciiTheme="majorHAnsi" w:hAnsiTheme="majorHAnsi" w:cstheme="majorHAnsi"/>
          <w:b/>
          <w:color w:val="000000"/>
          <w:sz w:val="20"/>
          <w:szCs w:val="20"/>
        </w:rPr>
        <w:t>item 9.3.1</w:t>
      </w:r>
      <w:r>
        <w:rPr>
          <w:rFonts w:eastAsia="Times New Roman" w:asciiTheme="majorHAnsi" w:hAnsiTheme="majorHAnsi" w:cstheme="majorHAnsi"/>
          <w:color w:val="000000"/>
          <w:sz w:val="20"/>
          <w:szCs w:val="20"/>
        </w:rPr>
        <w:t>, será aplicável a sanção de impedimento de licitar e contratar com a Administração Direta e Indireta do Estado de Pernambuco pelo prazo 18 (dezoito) a 36 (trinta e seis) meses, além de multa compensatória no percentual de 10% (dez por cento) a 20% (vinte por cento) sobre o valor do contrato.</w:t>
      </w:r>
    </w:p>
    <w:p w14:paraId="64EDE34E">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Quando do cometimento das infrações previstas nas alíneas “e”, “f”, “g” e “h” do </w:t>
      </w:r>
      <w:r>
        <w:rPr>
          <w:rFonts w:eastAsia="Times New Roman" w:asciiTheme="majorHAnsi" w:hAnsiTheme="majorHAnsi" w:cstheme="majorHAnsi"/>
          <w:b/>
          <w:color w:val="000000"/>
          <w:sz w:val="20"/>
          <w:szCs w:val="20"/>
        </w:rPr>
        <w:t>item 9.3.1</w:t>
      </w:r>
      <w:r>
        <w:rPr>
          <w:rFonts w:eastAsia="Times New Roman" w:asciiTheme="majorHAnsi" w:hAnsiTheme="majorHAnsi" w:cstheme="majorHAnsi"/>
          <w:color w:val="000000"/>
          <w:sz w:val="20"/>
          <w:szCs w:val="20"/>
        </w:rPr>
        <w:t>, ou quando praticadas as infrações descritas nas alíneas “b”, “c” e “d” que justifiquem a imposição de penalidade mais grave, será aplicável a sanção de declaração de inidoneidade para licitar e contratar com a Administração Pública, pelo período de 03 (três) a 06 (seis) anos, além da multa compensatória de 20% (vinte por cento) a 30% (trinta por cento) sobre o valor da contratação.</w:t>
      </w:r>
    </w:p>
    <w:p w14:paraId="6E3F6ED3">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 aplicação das sanções previstas nesta contratação não exclui, em hipótese alguma, a obrigação de reparação integral do dano causado à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w:t>
      </w:r>
    </w:p>
    <w:p w14:paraId="5A3C4A75">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O valor da multa aplicada e das indenizações cabíveis será objeto de compensação com os pagamentos eventualmente devidos pelo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 xml:space="preserve"> à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decorrentes da mesma contratação ou de outros contratos administrativos que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possua com a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w:t>
      </w:r>
    </w:p>
    <w:p w14:paraId="6159B68B">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Se o valor da multa for superior ao dos pagamentos devidos pelo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 a diferença será descontada da garantia contratual prestada, se houver, ou será cobrada administrativamente na forma prevista na Lei Estadual nº 13.178, de 2006.</w:t>
      </w:r>
    </w:p>
    <w:p w14:paraId="4604A8B0">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Não havendo o pagamento integral da multa em sede administrativa, a processo será encaminhado à Procuradoria Geral do Estado para inscrição em Dívida Ativa e cobrança. </w:t>
      </w:r>
    </w:p>
    <w:p w14:paraId="1FC3FF5C">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 aplicação das sanções realizar-se-á em processo administrativo que assegure o contraditório e a ampla defesa à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observando-se o procedimento previsto no Decreto Estadual.</w:t>
      </w:r>
    </w:p>
    <w:p w14:paraId="0B09F67B">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bookmarkStart w:id="12" w:name="_heading=h.1jin9xw8m32" w:colFirst="0" w:colLast="0"/>
      <w:bookmarkEnd w:id="12"/>
      <w:r>
        <w:rPr>
          <w:rFonts w:eastAsia="Times New Roman" w:asciiTheme="majorHAnsi" w:hAnsiTheme="majorHAnsi" w:cstheme="majorHAnsi"/>
          <w:color w:val="000000"/>
          <w:sz w:val="20"/>
          <w:szCs w:val="20"/>
        </w:rPr>
        <w:t>Na fixação das penalidades, dentro das faixas de multa estabelecidas neste Edital, bem como dos prazos previstos para as demais sanções deverão ser observadas:</w:t>
      </w:r>
    </w:p>
    <w:p w14:paraId="2ADE99F0">
      <w:pPr>
        <w:spacing w:before="120" w:after="0" w:line="240" w:lineRule="auto"/>
        <w:ind w:left="567"/>
        <w:jc w:val="both"/>
        <w:rPr>
          <w:rFonts w:eastAsia="Times New Roman" w:asciiTheme="majorHAnsi" w:hAnsiTheme="majorHAnsi" w:cstheme="majorHAnsi"/>
          <w:sz w:val="20"/>
          <w:szCs w:val="20"/>
        </w:rPr>
      </w:pPr>
      <w:r>
        <w:rPr>
          <w:rFonts w:eastAsia="Times New Roman" w:asciiTheme="majorHAnsi" w:hAnsiTheme="majorHAnsi" w:cstheme="majorHAnsi"/>
          <w:sz w:val="20"/>
          <w:szCs w:val="20"/>
        </w:rPr>
        <w:t xml:space="preserve">a) a natureza e a gravidade da infração cometida; </w:t>
      </w:r>
    </w:p>
    <w:p w14:paraId="6FF60C25">
      <w:pPr>
        <w:spacing w:before="120" w:after="0" w:line="240" w:lineRule="auto"/>
        <w:ind w:left="567"/>
        <w:jc w:val="both"/>
        <w:rPr>
          <w:rFonts w:eastAsia="Times New Roman" w:asciiTheme="majorHAnsi" w:hAnsiTheme="majorHAnsi" w:cstheme="majorHAnsi"/>
          <w:sz w:val="20"/>
          <w:szCs w:val="20"/>
        </w:rPr>
      </w:pPr>
      <w:r>
        <w:rPr>
          <w:rFonts w:eastAsia="Times New Roman" w:asciiTheme="majorHAnsi" w:hAnsiTheme="majorHAnsi" w:cstheme="majorHAnsi"/>
          <w:sz w:val="20"/>
          <w:szCs w:val="20"/>
        </w:rPr>
        <w:t>b) as peculiaridades do caso concreto;</w:t>
      </w:r>
    </w:p>
    <w:p w14:paraId="75CBCF6F">
      <w:pPr>
        <w:spacing w:before="120" w:after="0" w:line="240" w:lineRule="auto"/>
        <w:ind w:left="567"/>
        <w:jc w:val="both"/>
        <w:rPr>
          <w:rFonts w:eastAsia="Times New Roman" w:asciiTheme="majorHAnsi" w:hAnsiTheme="majorHAnsi" w:cstheme="majorHAnsi"/>
          <w:sz w:val="20"/>
          <w:szCs w:val="20"/>
        </w:rPr>
      </w:pPr>
      <w:r>
        <w:rPr>
          <w:rFonts w:eastAsia="Times New Roman" w:asciiTheme="majorHAnsi" w:hAnsiTheme="majorHAnsi" w:cstheme="majorHAnsi"/>
          <w:sz w:val="20"/>
          <w:szCs w:val="20"/>
        </w:rPr>
        <w:t>c) as circunstâncias agravantes ou atenuantes;</w:t>
      </w:r>
    </w:p>
    <w:p w14:paraId="3E72B40A">
      <w:pPr>
        <w:spacing w:before="120" w:after="0" w:line="240" w:lineRule="auto"/>
        <w:ind w:left="567"/>
        <w:jc w:val="both"/>
        <w:rPr>
          <w:rFonts w:eastAsia="Times New Roman" w:asciiTheme="majorHAnsi" w:hAnsiTheme="majorHAnsi" w:cstheme="majorHAnsi"/>
          <w:sz w:val="20"/>
          <w:szCs w:val="20"/>
        </w:rPr>
      </w:pPr>
      <w:r>
        <w:rPr>
          <w:rFonts w:eastAsia="Times New Roman" w:asciiTheme="majorHAnsi" w:hAnsiTheme="majorHAnsi" w:cstheme="majorHAnsi"/>
          <w:sz w:val="20"/>
          <w:szCs w:val="20"/>
        </w:rPr>
        <w:t xml:space="preserve">d) os danos que o cometimento da infração ocasionar ao </w:t>
      </w:r>
      <w:r>
        <w:rPr>
          <w:rFonts w:eastAsia="Times New Roman" w:asciiTheme="majorHAnsi" w:hAnsiTheme="majorHAnsi" w:cstheme="majorHAnsi"/>
          <w:b/>
          <w:sz w:val="20"/>
          <w:szCs w:val="20"/>
        </w:rPr>
        <w:t>CONTRATANTE,</w:t>
      </w:r>
      <w:r>
        <w:rPr>
          <w:rFonts w:eastAsia="Times New Roman" w:asciiTheme="majorHAnsi" w:hAnsiTheme="majorHAnsi" w:cstheme="majorHAnsi"/>
          <w:sz w:val="20"/>
          <w:szCs w:val="20"/>
        </w:rPr>
        <w:t xml:space="preserve"> ao funcionamento dos serviços públicos, aos seus usuários ou ao interesse coletivo</w:t>
      </w:r>
      <w:r>
        <w:rPr>
          <w:rFonts w:eastAsia="Times New Roman" w:asciiTheme="majorHAnsi" w:hAnsiTheme="majorHAnsi" w:cstheme="majorHAnsi"/>
          <w:b/>
          <w:sz w:val="20"/>
          <w:szCs w:val="20"/>
        </w:rPr>
        <w:t>;</w:t>
      </w:r>
    </w:p>
    <w:p w14:paraId="527C44DE">
      <w:pPr>
        <w:spacing w:before="120" w:after="0" w:line="240" w:lineRule="auto"/>
        <w:ind w:left="567"/>
        <w:jc w:val="both"/>
        <w:rPr>
          <w:rFonts w:eastAsia="Times New Roman" w:asciiTheme="majorHAnsi" w:hAnsiTheme="majorHAnsi" w:cstheme="majorHAnsi"/>
          <w:sz w:val="20"/>
          <w:szCs w:val="20"/>
        </w:rPr>
      </w:pPr>
      <w:bookmarkStart w:id="13" w:name="_heading=h.mjp8blohk8u8" w:colFirst="0" w:colLast="0"/>
      <w:bookmarkEnd w:id="13"/>
      <w:r>
        <w:rPr>
          <w:rFonts w:eastAsia="Times New Roman" w:asciiTheme="majorHAnsi" w:hAnsiTheme="majorHAnsi" w:cstheme="majorHAnsi"/>
          <w:sz w:val="20"/>
          <w:szCs w:val="20"/>
        </w:rPr>
        <w:t>e) a vantagem auferida em virtude da infração;</w:t>
      </w:r>
    </w:p>
    <w:p w14:paraId="4BB4B0F4">
      <w:pPr>
        <w:spacing w:before="120" w:after="0" w:line="240" w:lineRule="auto"/>
        <w:ind w:left="567"/>
        <w:jc w:val="both"/>
        <w:rPr>
          <w:rFonts w:eastAsia="Times New Roman" w:asciiTheme="majorHAnsi" w:hAnsiTheme="majorHAnsi" w:cstheme="majorHAnsi"/>
          <w:sz w:val="20"/>
          <w:szCs w:val="20"/>
        </w:rPr>
      </w:pPr>
      <w:bookmarkStart w:id="14" w:name="_heading=h.r84cho4cs68g" w:colFirst="0" w:colLast="0"/>
      <w:bookmarkEnd w:id="14"/>
      <w:r>
        <w:rPr>
          <w:rFonts w:eastAsia="Times New Roman" w:asciiTheme="majorHAnsi" w:hAnsiTheme="majorHAnsi" w:cstheme="majorHAnsi"/>
          <w:sz w:val="20"/>
          <w:szCs w:val="20"/>
        </w:rPr>
        <w:t>f) a implantação ou o aperfeiçoamento de programa de integridade, conforme normas e orientações dos órgãos de controle interno.</w:t>
      </w:r>
    </w:p>
    <w:p w14:paraId="472109CA">
      <w:pPr>
        <w:numPr>
          <w:ilvl w:val="2"/>
          <w:numId w:val="3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Em caso de prática da mesma infração ocorrida no prazo igual ou inferior a 12 (dozes) meses, contados da data de publicação da decisão definitiva da condenação anterior, as faixas de multa e os prazos previstos neste contrato poderão ser majorados em até 50% (cinquenta por cento), observados os limites máximos previstos em lei.</w:t>
      </w:r>
    </w:p>
    <w:p w14:paraId="4E2E758B">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Os atos previstos como infrações administrativas na Lei nº 14.133, de 2021, ou em outras leis de licitações e contratos da Administração Pública que também sejam tipificados como atos lesivos na Lei Federal nº 12.846, de 2013, serão apurados e julgados conjuntamente, nos mesmos autos, observados o rito procedimental e a autoridade competente definidos na Lei Estadual nº 16.309, de 2018.</w:t>
      </w:r>
    </w:p>
    <w:p w14:paraId="5B358637">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bookmarkStart w:id="15" w:name="_heading=h.gn6sd9e11v7t" w:colFirst="0" w:colLast="0"/>
      <w:bookmarkEnd w:id="15"/>
      <w:r>
        <w:rPr>
          <w:rFonts w:eastAsia="Times New Roman" w:asciiTheme="majorHAnsi" w:hAnsiTheme="majorHAnsi" w:cstheme="majorHAnsi"/>
          <w:color w:val="000000"/>
          <w:sz w:val="20"/>
          <w:szCs w:val="20"/>
        </w:rPr>
        <w:t xml:space="preserve">A personalidade jurídica da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poderá ser desconsiderada sempre que utilizada com abuso do direito para facilitar, encobrir ou dissimular a prática dos atos ilícitos previstos nesta contratação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observados, em todos os casos, o contraditório, a ampla defesa e a obrigatoriedade de análise jurídica prévia.</w:t>
      </w:r>
    </w:p>
    <w:p w14:paraId="520BFA7B">
      <w:pPr>
        <w:numPr>
          <w:ilvl w:val="2"/>
          <w:numId w:val="30"/>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A </w:t>
      </w:r>
      <w:r>
        <w:rPr>
          <w:rFonts w:eastAsia="Times New Roman" w:asciiTheme="majorHAnsi" w:hAnsiTheme="majorHAnsi" w:cstheme="majorHAnsi"/>
          <w:b/>
          <w:color w:val="000000"/>
          <w:sz w:val="20"/>
          <w:szCs w:val="20"/>
        </w:rPr>
        <w:t>CONTRATANTE</w:t>
      </w:r>
      <w:r>
        <w:rPr>
          <w:rFonts w:eastAsia="Times New Roman" w:asciiTheme="majorHAnsi" w:hAnsiTheme="majorHAnsi" w:cstheme="majorHAnsi"/>
          <w:color w:val="000000"/>
          <w:sz w:val="20"/>
          <w:szCs w:val="20"/>
        </w:rPr>
        <w:t xml:space="preserve"> deverá comunicar as sanções aplicadas à Secretaria de Administração, para fins de inclusão da </w:t>
      </w:r>
      <w:r>
        <w:rPr>
          <w:rFonts w:eastAsia="Times New Roman" w:asciiTheme="majorHAnsi" w:hAnsiTheme="majorHAnsi" w:cstheme="majorHAnsi"/>
          <w:b/>
          <w:color w:val="000000"/>
          <w:sz w:val="20"/>
          <w:szCs w:val="20"/>
        </w:rPr>
        <w:t>CONTRATADA</w:t>
      </w:r>
      <w:r>
        <w:rPr>
          <w:rFonts w:eastAsia="Times New Roman" w:asciiTheme="majorHAnsi" w:hAnsiTheme="majorHAnsi" w:cstheme="majorHAnsi"/>
          <w:color w:val="000000"/>
          <w:sz w:val="20"/>
          <w:szCs w:val="20"/>
        </w:rPr>
        <w:t xml:space="preserve"> nos sistemas E-fisco e PE-Integrado, no Cadastro Nacional de Empresas Inidôneas e Suspensas (Ceis) e no Cadastro Nacional de Empresas Punidas (Cnep), instituídos no âmbito do Poder Executivo Federal, observado o prazo máximo de 15 (quinze) dias úteis, contado da data da decisão definitiva de aplicação da sanção. </w:t>
      </w:r>
    </w:p>
    <w:p w14:paraId="6280CC49">
      <w:pPr>
        <w:spacing w:before="120" w:after="0" w:line="240" w:lineRule="auto"/>
        <w:jc w:val="both"/>
        <w:rPr>
          <w:rFonts w:eastAsia="Times New Roman" w:asciiTheme="majorHAnsi" w:hAnsiTheme="majorHAnsi" w:cstheme="majorHAnsi"/>
          <w:color w:val="4472C4"/>
          <w:sz w:val="20"/>
          <w:szCs w:val="20"/>
        </w:rPr>
      </w:pPr>
    </w:p>
    <w:p w14:paraId="2BCE0C1F">
      <w:pPr>
        <w:spacing w:before="120" w:after="0" w:line="240" w:lineRule="auto"/>
        <w:jc w:val="both"/>
        <w:rPr>
          <w:rFonts w:eastAsia="Times New Roman" w:asciiTheme="majorHAnsi" w:hAnsiTheme="majorHAnsi" w:cstheme="majorHAnsi"/>
          <w:b/>
          <w:sz w:val="20"/>
          <w:szCs w:val="20"/>
        </w:rPr>
      </w:pPr>
      <w:r>
        <w:rPr>
          <w:rFonts w:eastAsia="Times New Roman" w:asciiTheme="majorHAnsi" w:hAnsiTheme="majorHAnsi" w:cstheme="majorHAnsi"/>
          <w:b/>
          <w:sz w:val="20"/>
          <w:szCs w:val="20"/>
        </w:rPr>
        <w:t>ANEXOS DO TERMO DE REFERÊNCIA:</w:t>
      </w:r>
    </w:p>
    <w:p w14:paraId="08EF76C4">
      <w:pPr>
        <w:pBdr>
          <w:top w:val="none" w:color="auto" w:sz="0" w:space="0"/>
          <w:left w:val="none" w:color="auto" w:sz="0" w:space="0"/>
          <w:bottom w:val="none" w:color="auto" w:sz="0" w:space="0"/>
          <w:right w:val="none" w:color="auto" w:sz="0" w:space="0"/>
          <w:between w:val="none" w:color="auto" w:sz="0" w:space="0"/>
        </w:pBdr>
        <w:tabs>
          <w:tab w:val="center" w:pos="4536"/>
        </w:tabs>
        <w:spacing w:before="120" w:after="0" w:line="240" w:lineRule="auto"/>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Anexo A – Modelo de ordem de fornecimento</w:t>
      </w:r>
      <w:r>
        <w:rPr>
          <w:rFonts w:eastAsia="Times New Roman" w:asciiTheme="majorHAnsi" w:hAnsiTheme="majorHAnsi" w:cstheme="majorHAnsi"/>
          <w:color w:val="000000"/>
          <w:sz w:val="20"/>
          <w:szCs w:val="20"/>
        </w:rPr>
        <w:tab/>
      </w:r>
    </w:p>
    <w:p w14:paraId="1ABDDEE8">
      <w:pPr>
        <w:pBdr>
          <w:top w:val="none" w:color="auto" w:sz="0" w:space="0"/>
          <w:left w:val="none" w:color="auto" w:sz="0" w:space="0"/>
          <w:bottom w:val="none" w:color="auto" w:sz="0" w:space="0"/>
          <w:right w:val="none" w:color="auto" w:sz="0" w:space="0"/>
          <w:between w:val="none" w:color="auto" w:sz="0" w:space="0"/>
        </w:pBdr>
        <w:tabs>
          <w:tab w:val="center" w:pos="4536"/>
        </w:tabs>
        <w:spacing w:before="120" w:after="0" w:line="240" w:lineRule="auto"/>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Anexo B – Modelo de proposta de preços</w:t>
      </w:r>
    </w:p>
    <w:p w14:paraId="114A8B90">
      <w:pPr>
        <w:pBdr>
          <w:top w:val="none" w:color="auto" w:sz="0" w:space="0"/>
          <w:left w:val="none" w:color="auto" w:sz="0" w:space="0"/>
          <w:bottom w:val="none" w:color="auto" w:sz="0" w:space="0"/>
          <w:right w:val="none" w:color="auto" w:sz="0" w:space="0"/>
          <w:between w:val="none" w:color="auto" w:sz="0" w:space="0"/>
        </w:pBdr>
        <w:tabs>
          <w:tab w:val="center" w:pos="4536"/>
        </w:tabs>
        <w:spacing w:before="120" w:after="0" w:line="240" w:lineRule="auto"/>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Anexo C – Termo de Ciência do Gestor e Fiscal do Contrato</w:t>
      </w:r>
    </w:p>
    <w:p w14:paraId="0A047D4B">
      <w:pPr>
        <w:pBdr>
          <w:top w:val="none" w:color="auto" w:sz="0" w:space="0"/>
          <w:left w:val="none" w:color="auto" w:sz="0" w:space="0"/>
          <w:bottom w:val="none" w:color="auto" w:sz="0" w:space="0"/>
          <w:right w:val="none" w:color="auto" w:sz="0" w:space="0"/>
          <w:between w:val="none" w:color="auto" w:sz="0" w:space="0"/>
        </w:pBdr>
        <w:tabs>
          <w:tab w:val="center" w:pos="4536"/>
        </w:tabs>
        <w:spacing w:before="120" w:after="0" w:line="240" w:lineRule="auto"/>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Anexo D – Quadro Resumo</w:t>
      </w:r>
    </w:p>
    <w:p w14:paraId="7C26F10B">
      <w:pPr>
        <w:pBdr>
          <w:top w:val="none" w:color="auto" w:sz="0" w:space="0"/>
          <w:left w:val="none" w:color="auto" w:sz="0" w:space="0"/>
          <w:bottom w:val="none" w:color="auto" w:sz="0" w:space="0"/>
          <w:right w:val="none" w:color="auto" w:sz="0" w:space="0"/>
          <w:between w:val="none" w:color="auto" w:sz="0" w:space="0"/>
        </w:pBdr>
        <w:tabs>
          <w:tab w:val="center" w:pos="4536"/>
        </w:tabs>
        <w:spacing w:before="120" w:after="0" w:line="240" w:lineRule="auto"/>
        <w:rPr>
          <w:rFonts w:eastAsia="Times New Roman" w:asciiTheme="majorHAnsi" w:hAnsiTheme="majorHAnsi" w:cstheme="majorHAnsi"/>
          <w:color w:val="000000"/>
          <w:sz w:val="20"/>
          <w:szCs w:val="20"/>
        </w:rPr>
      </w:pPr>
    </w:p>
    <w:p w14:paraId="005618B2">
      <w:pPr>
        <w:spacing w:before="120" w:after="0" w:line="240" w:lineRule="auto"/>
        <w:jc w:val="center"/>
        <w:rPr>
          <w:rFonts w:eastAsia="Times New Roman" w:asciiTheme="majorHAnsi" w:hAnsiTheme="majorHAnsi" w:cstheme="majorHAnsi"/>
          <w:sz w:val="20"/>
          <w:szCs w:val="20"/>
          <w:highlight w:val="white"/>
        </w:rPr>
      </w:pPr>
      <w:r>
        <w:rPr>
          <w:rFonts w:eastAsia="Times New Roman" w:asciiTheme="majorHAnsi" w:hAnsiTheme="majorHAnsi" w:cstheme="majorHAnsi"/>
          <w:sz w:val="20"/>
          <w:szCs w:val="20"/>
          <w:highlight w:val="white"/>
        </w:rPr>
        <w:t>Recife, 16 de Setembro de 2025.</w:t>
      </w:r>
    </w:p>
    <w:p w14:paraId="67399FA6">
      <w:pPr>
        <w:spacing w:before="120" w:after="0" w:line="240" w:lineRule="auto"/>
        <w:jc w:val="center"/>
        <w:rPr>
          <w:rFonts w:eastAsia="Times New Roman" w:asciiTheme="majorHAnsi" w:hAnsiTheme="majorHAnsi" w:cstheme="majorHAnsi"/>
          <w:sz w:val="20"/>
          <w:szCs w:val="20"/>
          <w:highlight w:val="white"/>
        </w:rPr>
      </w:pPr>
    </w:p>
    <w:p w14:paraId="547003A4">
      <w:pPr>
        <w:spacing w:before="120" w:after="0" w:line="240" w:lineRule="auto"/>
        <w:jc w:val="center"/>
        <w:rPr>
          <w:rFonts w:eastAsia="Times New Roman" w:asciiTheme="majorHAnsi" w:hAnsiTheme="majorHAnsi" w:cstheme="majorHAnsi"/>
          <w:sz w:val="20"/>
          <w:szCs w:val="20"/>
          <w:highlight w:val="white"/>
        </w:rPr>
      </w:pPr>
      <w:r>
        <w:rPr>
          <w:rFonts w:eastAsia="Times New Roman" w:asciiTheme="majorHAnsi" w:hAnsiTheme="majorHAnsi" w:cstheme="majorHAnsi"/>
          <w:sz w:val="20"/>
          <w:szCs w:val="20"/>
          <w:highlight w:val="white"/>
        </w:rPr>
        <w:t>Diogo Chaves Gama Aires</w:t>
      </w:r>
    </w:p>
    <w:p w14:paraId="1BE166B8">
      <w:pPr>
        <w:spacing w:after="0"/>
        <w:jc w:val="center"/>
        <w:rPr>
          <w:rFonts w:eastAsia="Times New Roman" w:asciiTheme="majorHAnsi" w:hAnsiTheme="majorHAnsi" w:cstheme="majorHAnsi"/>
          <w:sz w:val="20"/>
          <w:szCs w:val="20"/>
          <w:highlight w:val="white"/>
        </w:rPr>
      </w:pPr>
      <w:r>
        <w:rPr>
          <w:rFonts w:eastAsia="Times New Roman" w:asciiTheme="majorHAnsi" w:hAnsiTheme="majorHAnsi" w:cstheme="majorHAnsi"/>
          <w:sz w:val="20"/>
          <w:szCs w:val="20"/>
          <w:highlight w:val="white"/>
        </w:rPr>
        <w:t>CRF|PE: 4934</w:t>
      </w:r>
    </w:p>
    <w:p w14:paraId="4462AA77">
      <w:pPr>
        <w:spacing w:after="0"/>
        <w:jc w:val="center"/>
        <w:rPr>
          <w:rFonts w:eastAsia="Times New Roman" w:asciiTheme="majorHAnsi" w:hAnsiTheme="majorHAnsi" w:cstheme="majorHAnsi"/>
          <w:sz w:val="16"/>
          <w:szCs w:val="16"/>
          <w:highlight w:val="white"/>
        </w:rPr>
      </w:pPr>
      <w:r>
        <w:rPr>
          <w:rFonts w:eastAsia="Times New Roman" w:asciiTheme="majorHAnsi" w:hAnsiTheme="majorHAnsi" w:cstheme="majorHAnsi"/>
          <w:sz w:val="16"/>
          <w:szCs w:val="16"/>
          <w:highlight w:val="white"/>
        </w:rPr>
        <w:t>Farmacêutico</w:t>
      </w:r>
    </w:p>
    <w:p w14:paraId="1B748312">
      <w:pPr>
        <w:spacing w:after="0" w:line="240" w:lineRule="auto"/>
        <w:ind w:left="-142"/>
        <w:jc w:val="both"/>
        <w:rPr>
          <w:rFonts w:ascii="Calibri Light" w:hAnsi="Calibri Light" w:cs="Calibri Light"/>
          <w:sz w:val="16"/>
          <w:szCs w:val="16"/>
          <w:lang w:eastAsia="en-US"/>
        </w:rPr>
      </w:pPr>
      <w:r>
        <w:rPr>
          <w:rFonts w:ascii="Calibri Light" w:hAnsi="Calibri Light" w:cs="Calibri Light"/>
          <w:b/>
          <w:bCs/>
          <w:sz w:val="16"/>
          <w:szCs w:val="16"/>
          <w:lang w:eastAsia="en-US"/>
        </w:rPr>
        <w:t>Observação:</w:t>
      </w:r>
      <w:r>
        <w:rPr>
          <w:rFonts w:ascii="Calibri Light" w:hAnsi="Calibri Light" w:cs="Calibri Light"/>
          <w:sz w:val="16"/>
          <w:szCs w:val="16"/>
          <w:lang w:eastAsia="en-US"/>
        </w:rPr>
        <w:t xml:space="preserve"> Este termo de referência foi elaborado de acordo com os instrumentos padronizados da PGE: Edital de Fornecimento de Medicamentos/MMH (Atualizado em </w:t>
      </w:r>
      <w:r>
        <w:rPr>
          <w:rFonts w:ascii="Calibri Light" w:hAnsi="Calibri Light" w:cs="Calibri Light"/>
          <w:b/>
          <w:sz w:val="16"/>
          <w:szCs w:val="16"/>
          <w:lang w:eastAsia="en-US"/>
        </w:rPr>
        <w:t>06</w:t>
      </w:r>
      <w:r>
        <w:rPr>
          <w:rFonts w:ascii="Calibri Light" w:hAnsi="Calibri Light" w:cs="Calibri Light"/>
          <w:b/>
          <w:bCs/>
          <w:sz w:val="16"/>
          <w:szCs w:val="16"/>
          <w:lang w:eastAsia="en-US"/>
        </w:rPr>
        <w:t>/11/2025</w:t>
      </w:r>
      <w:r>
        <w:rPr>
          <w:rFonts w:ascii="Calibri Light" w:hAnsi="Calibri Light" w:cs="Calibri Light"/>
          <w:sz w:val="16"/>
          <w:szCs w:val="16"/>
          <w:lang w:eastAsia="en-US"/>
        </w:rPr>
        <w:t xml:space="preserve">), Minuta do Contrato de Fornecimento de Medicamentos/MMH (Atualizada em </w:t>
      </w:r>
      <w:r>
        <w:rPr>
          <w:rFonts w:ascii="Calibri Light" w:hAnsi="Calibri Light" w:cs="Calibri Light"/>
          <w:b/>
          <w:bCs/>
          <w:sz w:val="16"/>
          <w:szCs w:val="16"/>
          <w:lang w:eastAsia="en-US"/>
        </w:rPr>
        <w:t>22/01/2025</w:t>
      </w:r>
      <w:r>
        <w:rPr>
          <w:rFonts w:ascii="Calibri Light" w:hAnsi="Calibri Light" w:cs="Calibri Light"/>
          <w:sz w:val="16"/>
          <w:szCs w:val="16"/>
          <w:lang w:eastAsia="en-US"/>
        </w:rPr>
        <w:t xml:space="preserve">) e Minuta da Ata de Registro de Preços (Atualizada em </w:t>
      </w:r>
      <w:r>
        <w:rPr>
          <w:rFonts w:ascii="Calibri Light" w:hAnsi="Calibri Light" w:cs="Calibri Light"/>
          <w:b/>
          <w:sz w:val="16"/>
          <w:szCs w:val="16"/>
          <w:lang w:eastAsia="en-US"/>
        </w:rPr>
        <w:t>29</w:t>
      </w:r>
      <w:r>
        <w:rPr>
          <w:rFonts w:ascii="Calibri Light" w:hAnsi="Calibri Light" w:cs="Calibri Light"/>
          <w:b/>
          <w:bCs/>
          <w:sz w:val="16"/>
          <w:szCs w:val="16"/>
          <w:lang w:eastAsia="en-US"/>
        </w:rPr>
        <w:t>/08/2025</w:t>
      </w:r>
      <w:r>
        <w:rPr>
          <w:rFonts w:ascii="Calibri Light" w:hAnsi="Calibri Light" w:cs="Calibri Light"/>
          <w:sz w:val="16"/>
          <w:szCs w:val="16"/>
          <w:lang w:eastAsia="en-US"/>
        </w:rPr>
        <w:t>).</w:t>
      </w:r>
    </w:p>
    <w:tbl>
      <w:tblPr>
        <w:tblStyle w:val="12"/>
        <w:tblW w:w="4917" w:type="dxa"/>
        <w:jc w:val="center"/>
        <w:tblLayout w:type="autofit"/>
        <w:tblCellMar>
          <w:top w:w="0" w:type="dxa"/>
          <w:left w:w="108" w:type="dxa"/>
          <w:bottom w:w="0" w:type="dxa"/>
          <w:right w:w="108" w:type="dxa"/>
        </w:tblCellMar>
      </w:tblPr>
      <w:tblGrid>
        <w:gridCol w:w="2977"/>
        <w:gridCol w:w="1940"/>
      </w:tblGrid>
      <w:tr w14:paraId="6844F797">
        <w:trPr>
          <w:jc w:val="center"/>
        </w:trPr>
        <w:tc>
          <w:tcPr>
            <w:tcW w:w="2976" w:type="dxa"/>
            <w:tcBorders>
              <w:top w:val="single" w:color="000000" w:sz="4" w:space="0"/>
              <w:left w:val="single" w:color="000000" w:sz="4" w:space="0"/>
              <w:bottom w:val="single" w:color="000000" w:sz="4" w:space="0"/>
              <w:right w:val="single" w:color="000000" w:sz="4" w:space="0"/>
            </w:tcBorders>
          </w:tcPr>
          <w:p w14:paraId="0EA9F8F5">
            <w:pPr>
              <w:widowControl w:val="0"/>
              <w:spacing w:after="0"/>
              <w:jc w:val="center"/>
              <w:rPr>
                <w:rFonts w:ascii="Calibri Light" w:hAnsi="Calibri Light" w:eastAsia="Times New Roman" w:cs="Calibri Light"/>
                <w:b/>
                <w:bCs/>
                <w:sz w:val="16"/>
                <w:szCs w:val="16"/>
              </w:rPr>
            </w:pPr>
            <w:r>
              <w:rPr>
                <w:rFonts w:ascii="Calibri Light" w:hAnsi="Calibri Light" w:eastAsia="Times New Roman" w:cs="Calibri Light"/>
                <w:b/>
                <w:bCs/>
                <w:sz w:val="16"/>
                <w:szCs w:val="16"/>
              </w:rPr>
              <w:t>DATA DE VERSÃO DO TR SAD – Medicamentos c/participante</w:t>
            </w:r>
          </w:p>
        </w:tc>
        <w:tc>
          <w:tcPr>
            <w:tcW w:w="1940" w:type="dxa"/>
            <w:tcBorders>
              <w:top w:val="single" w:color="000000" w:sz="4" w:space="0"/>
              <w:left w:val="single" w:color="000000" w:sz="4" w:space="0"/>
              <w:bottom w:val="single" w:color="000000" w:sz="4" w:space="0"/>
              <w:right w:val="single" w:color="000000" w:sz="4" w:space="0"/>
            </w:tcBorders>
          </w:tcPr>
          <w:p w14:paraId="54611473">
            <w:pPr>
              <w:widowControl w:val="0"/>
              <w:spacing w:after="0"/>
              <w:rPr>
                <w:rFonts w:ascii="Calibri Light" w:hAnsi="Calibri Light" w:eastAsia="Times New Roman" w:cs="Calibri Light"/>
                <w:b/>
                <w:bCs/>
                <w:sz w:val="16"/>
                <w:szCs w:val="16"/>
              </w:rPr>
            </w:pPr>
            <w:r>
              <w:rPr>
                <w:rFonts w:ascii="Calibri Light" w:hAnsi="Calibri Light" w:eastAsia="Times New Roman" w:cs="Calibri Light"/>
                <w:b/>
                <w:bCs/>
                <w:sz w:val="16"/>
                <w:szCs w:val="16"/>
              </w:rPr>
              <w:t>27/06/2025</w:t>
            </w:r>
          </w:p>
        </w:tc>
      </w:tr>
    </w:tbl>
    <w:p w14:paraId="7A69BA86">
      <w:pPr>
        <w:spacing w:after="0" w:line="240" w:lineRule="auto"/>
        <w:jc w:val="center"/>
        <w:rPr>
          <w:rFonts w:eastAsia="Times New Roman" w:asciiTheme="majorHAnsi" w:hAnsiTheme="majorHAnsi" w:cstheme="majorHAnsi"/>
          <w:sz w:val="20"/>
          <w:szCs w:val="20"/>
        </w:rPr>
      </w:pPr>
    </w:p>
    <w:p w14:paraId="1C73E288">
      <w:pPr>
        <w:spacing w:after="0" w:line="240" w:lineRule="auto"/>
        <w:jc w:val="center"/>
        <w:rPr>
          <w:rFonts w:eastAsia="Times New Roman" w:asciiTheme="majorHAnsi" w:hAnsiTheme="majorHAnsi" w:cstheme="majorHAnsi"/>
          <w:sz w:val="20"/>
          <w:szCs w:val="20"/>
        </w:rPr>
      </w:pPr>
    </w:p>
    <w:p w14:paraId="653BC807">
      <w:pPr>
        <w:spacing w:after="0" w:line="240" w:lineRule="auto"/>
        <w:jc w:val="center"/>
        <w:rPr>
          <w:rFonts w:eastAsia="Times New Roman" w:asciiTheme="majorHAnsi" w:hAnsiTheme="majorHAnsi" w:cstheme="majorHAnsi"/>
          <w:sz w:val="20"/>
          <w:szCs w:val="20"/>
        </w:rPr>
      </w:pPr>
    </w:p>
    <w:p w14:paraId="65E748F5">
      <w:pPr>
        <w:spacing w:after="0" w:line="240" w:lineRule="auto"/>
        <w:jc w:val="center"/>
        <w:rPr>
          <w:rFonts w:eastAsia="Times New Roman" w:asciiTheme="majorHAnsi" w:hAnsiTheme="majorHAnsi" w:cstheme="majorHAnsi"/>
          <w:sz w:val="20"/>
          <w:szCs w:val="20"/>
        </w:rPr>
      </w:pPr>
    </w:p>
    <w:p w14:paraId="4A6FB38F">
      <w:pPr>
        <w:spacing w:after="0" w:line="240" w:lineRule="auto"/>
        <w:jc w:val="center"/>
        <w:rPr>
          <w:rFonts w:eastAsia="Times New Roman" w:asciiTheme="majorHAnsi" w:hAnsiTheme="majorHAnsi" w:cstheme="majorHAnsi"/>
          <w:sz w:val="20"/>
          <w:szCs w:val="20"/>
        </w:rPr>
      </w:pPr>
    </w:p>
    <w:p w14:paraId="2F8ABB6B">
      <w:pPr>
        <w:spacing w:after="0" w:line="240" w:lineRule="auto"/>
        <w:jc w:val="center"/>
        <w:rPr>
          <w:rFonts w:eastAsia="Times New Roman" w:asciiTheme="majorHAnsi" w:hAnsiTheme="majorHAnsi" w:cstheme="majorHAnsi"/>
          <w:sz w:val="20"/>
          <w:szCs w:val="20"/>
        </w:rPr>
      </w:pPr>
    </w:p>
    <w:p w14:paraId="686FF288">
      <w:pPr>
        <w:spacing w:after="0" w:line="240" w:lineRule="auto"/>
        <w:jc w:val="center"/>
        <w:rPr>
          <w:rFonts w:eastAsia="Times New Roman" w:asciiTheme="majorHAnsi" w:hAnsiTheme="majorHAnsi" w:cstheme="majorHAnsi"/>
          <w:sz w:val="20"/>
          <w:szCs w:val="20"/>
        </w:rPr>
      </w:pPr>
    </w:p>
    <w:p w14:paraId="7CDE6EB9">
      <w:pPr>
        <w:spacing w:after="0" w:line="240" w:lineRule="auto"/>
        <w:jc w:val="center"/>
        <w:rPr>
          <w:rFonts w:eastAsia="Times New Roman" w:asciiTheme="majorHAnsi" w:hAnsiTheme="majorHAnsi" w:cstheme="majorHAnsi"/>
          <w:sz w:val="20"/>
          <w:szCs w:val="20"/>
        </w:rPr>
      </w:pPr>
    </w:p>
    <w:p w14:paraId="2784DEAA">
      <w:pPr>
        <w:spacing w:after="0" w:line="240" w:lineRule="auto"/>
        <w:jc w:val="center"/>
        <w:rPr>
          <w:rFonts w:eastAsia="Times New Roman" w:asciiTheme="majorHAnsi" w:hAnsiTheme="majorHAnsi" w:cstheme="majorHAnsi"/>
          <w:sz w:val="20"/>
          <w:szCs w:val="20"/>
        </w:rPr>
      </w:pPr>
    </w:p>
    <w:p w14:paraId="10B08235">
      <w:pPr>
        <w:spacing w:after="0" w:line="240" w:lineRule="auto"/>
        <w:jc w:val="center"/>
        <w:rPr>
          <w:rFonts w:eastAsia="Times New Roman" w:asciiTheme="majorHAnsi" w:hAnsiTheme="majorHAnsi" w:cstheme="majorHAnsi"/>
          <w:sz w:val="20"/>
          <w:szCs w:val="20"/>
        </w:rPr>
      </w:pPr>
    </w:p>
    <w:p w14:paraId="4906829D">
      <w:pPr>
        <w:spacing w:after="0" w:line="240" w:lineRule="auto"/>
        <w:jc w:val="center"/>
        <w:rPr>
          <w:rFonts w:eastAsia="Times New Roman" w:asciiTheme="majorHAnsi" w:hAnsiTheme="majorHAnsi" w:cstheme="majorHAnsi"/>
          <w:sz w:val="20"/>
          <w:szCs w:val="20"/>
        </w:rPr>
      </w:pPr>
    </w:p>
    <w:p w14:paraId="193286B9">
      <w:pPr>
        <w:spacing w:after="0" w:line="240" w:lineRule="auto"/>
        <w:jc w:val="center"/>
        <w:rPr>
          <w:rFonts w:eastAsia="Times New Roman" w:asciiTheme="majorHAnsi" w:hAnsiTheme="majorHAnsi" w:cstheme="majorHAnsi"/>
          <w:sz w:val="20"/>
          <w:szCs w:val="20"/>
        </w:rPr>
      </w:pPr>
    </w:p>
    <w:p w14:paraId="59E3ADFE">
      <w:pPr>
        <w:spacing w:after="0" w:line="240" w:lineRule="auto"/>
        <w:jc w:val="center"/>
        <w:rPr>
          <w:rFonts w:eastAsia="Times New Roman" w:asciiTheme="majorHAnsi" w:hAnsiTheme="majorHAnsi" w:cstheme="majorHAnsi"/>
          <w:sz w:val="20"/>
          <w:szCs w:val="20"/>
        </w:rPr>
      </w:pPr>
    </w:p>
    <w:p w14:paraId="32F5B1A3">
      <w:pPr>
        <w:spacing w:after="0" w:line="240" w:lineRule="auto"/>
        <w:jc w:val="center"/>
        <w:rPr>
          <w:rFonts w:eastAsia="Times New Roman" w:asciiTheme="majorHAnsi" w:hAnsiTheme="majorHAnsi" w:cstheme="majorHAnsi"/>
          <w:sz w:val="20"/>
          <w:szCs w:val="20"/>
        </w:rPr>
      </w:pPr>
    </w:p>
    <w:p w14:paraId="701B0DA2">
      <w:pPr>
        <w:spacing w:after="0" w:line="240" w:lineRule="auto"/>
        <w:jc w:val="center"/>
        <w:rPr>
          <w:rFonts w:eastAsia="Times New Roman" w:asciiTheme="majorHAnsi" w:hAnsiTheme="majorHAnsi" w:cstheme="majorHAnsi"/>
          <w:sz w:val="20"/>
          <w:szCs w:val="20"/>
        </w:rPr>
      </w:pPr>
    </w:p>
    <w:p w14:paraId="794139A0">
      <w:pPr>
        <w:spacing w:after="0" w:line="240" w:lineRule="auto"/>
        <w:jc w:val="center"/>
        <w:rPr>
          <w:rFonts w:eastAsia="Times New Roman" w:asciiTheme="majorHAnsi" w:hAnsiTheme="majorHAnsi" w:cstheme="majorHAnsi"/>
          <w:sz w:val="20"/>
          <w:szCs w:val="20"/>
        </w:rPr>
      </w:pPr>
    </w:p>
    <w:p w14:paraId="762EC3D7">
      <w:pPr>
        <w:spacing w:after="0" w:line="240" w:lineRule="auto"/>
        <w:jc w:val="center"/>
        <w:rPr>
          <w:rFonts w:eastAsia="Times New Roman" w:asciiTheme="majorHAnsi" w:hAnsiTheme="majorHAnsi" w:cstheme="majorHAnsi"/>
          <w:sz w:val="20"/>
          <w:szCs w:val="20"/>
        </w:rPr>
      </w:pPr>
    </w:p>
    <w:p w14:paraId="449DF5B2">
      <w:pPr>
        <w:spacing w:after="0" w:line="240" w:lineRule="auto"/>
        <w:jc w:val="center"/>
        <w:rPr>
          <w:rFonts w:eastAsia="Times New Roman" w:asciiTheme="majorHAnsi" w:hAnsiTheme="majorHAnsi" w:cstheme="majorHAnsi"/>
          <w:sz w:val="20"/>
          <w:szCs w:val="20"/>
        </w:rPr>
      </w:pPr>
    </w:p>
    <w:p w14:paraId="10B7C896">
      <w:pPr>
        <w:spacing w:after="0" w:line="240" w:lineRule="auto"/>
        <w:jc w:val="center"/>
        <w:rPr>
          <w:rFonts w:eastAsia="Times New Roman" w:asciiTheme="majorHAnsi" w:hAnsiTheme="majorHAnsi" w:cstheme="majorHAnsi"/>
          <w:sz w:val="20"/>
          <w:szCs w:val="20"/>
        </w:rPr>
      </w:pPr>
    </w:p>
    <w:p w14:paraId="356EE8B7">
      <w:pPr>
        <w:spacing w:after="0" w:line="240" w:lineRule="auto"/>
        <w:jc w:val="center"/>
        <w:rPr>
          <w:rFonts w:eastAsia="Times New Roman" w:asciiTheme="majorHAnsi" w:hAnsiTheme="majorHAnsi" w:cstheme="majorHAnsi"/>
          <w:sz w:val="20"/>
          <w:szCs w:val="20"/>
        </w:rPr>
      </w:pPr>
    </w:p>
    <w:p w14:paraId="4012FA34">
      <w:pPr>
        <w:spacing w:after="0" w:line="240" w:lineRule="auto"/>
        <w:jc w:val="center"/>
        <w:rPr>
          <w:rFonts w:eastAsia="Times New Roman" w:asciiTheme="majorHAnsi" w:hAnsiTheme="majorHAnsi" w:cstheme="majorHAnsi"/>
          <w:sz w:val="20"/>
          <w:szCs w:val="20"/>
        </w:rPr>
      </w:pPr>
    </w:p>
    <w:p w14:paraId="325CBF9A">
      <w:pPr>
        <w:spacing w:after="0" w:line="240" w:lineRule="auto"/>
        <w:jc w:val="center"/>
        <w:rPr>
          <w:rFonts w:eastAsia="Times New Roman" w:asciiTheme="majorHAnsi" w:hAnsiTheme="majorHAnsi" w:cstheme="majorHAnsi"/>
          <w:sz w:val="20"/>
          <w:szCs w:val="20"/>
        </w:rPr>
      </w:pPr>
    </w:p>
    <w:p w14:paraId="3057BB3C">
      <w:pPr>
        <w:spacing w:after="0" w:line="240" w:lineRule="auto"/>
        <w:jc w:val="center"/>
        <w:rPr>
          <w:rFonts w:eastAsia="Times New Roman" w:asciiTheme="majorHAnsi" w:hAnsiTheme="majorHAnsi" w:cstheme="majorHAnsi"/>
          <w:sz w:val="20"/>
          <w:szCs w:val="20"/>
        </w:rPr>
      </w:pPr>
    </w:p>
    <w:p w14:paraId="1CC1FCF4">
      <w:pPr>
        <w:spacing w:after="0" w:line="240" w:lineRule="auto"/>
        <w:jc w:val="center"/>
        <w:rPr>
          <w:rFonts w:eastAsia="Times New Roman" w:asciiTheme="majorHAnsi" w:hAnsiTheme="majorHAnsi" w:cstheme="majorHAnsi"/>
          <w:sz w:val="20"/>
          <w:szCs w:val="20"/>
        </w:rPr>
      </w:pPr>
    </w:p>
    <w:p w14:paraId="3B5A07C9">
      <w:pPr>
        <w:spacing w:after="0" w:line="240" w:lineRule="auto"/>
        <w:jc w:val="center"/>
        <w:rPr>
          <w:rFonts w:eastAsia="Times New Roman" w:asciiTheme="majorHAnsi" w:hAnsiTheme="majorHAnsi" w:cstheme="majorHAnsi"/>
          <w:sz w:val="20"/>
          <w:szCs w:val="20"/>
        </w:rPr>
      </w:pPr>
    </w:p>
    <w:p w14:paraId="34845536">
      <w:pPr>
        <w:spacing w:after="0" w:line="240" w:lineRule="auto"/>
        <w:jc w:val="center"/>
        <w:rPr>
          <w:rFonts w:eastAsia="Times New Roman" w:asciiTheme="majorHAnsi" w:hAnsiTheme="majorHAnsi" w:cstheme="majorHAnsi"/>
          <w:sz w:val="20"/>
          <w:szCs w:val="20"/>
        </w:rPr>
      </w:pPr>
    </w:p>
    <w:p w14:paraId="6E459D02">
      <w:pPr>
        <w:spacing w:after="0" w:line="240" w:lineRule="auto"/>
        <w:jc w:val="center"/>
        <w:rPr>
          <w:rFonts w:eastAsia="Times New Roman" w:asciiTheme="majorHAnsi" w:hAnsiTheme="majorHAnsi" w:cstheme="majorHAnsi"/>
          <w:sz w:val="20"/>
          <w:szCs w:val="20"/>
        </w:rPr>
      </w:pPr>
    </w:p>
    <w:p w14:paraId="13D79BA9">
      <w:pPr>
        <w:spacing w:after="0" w:line="240" w:lineRule="auto"/>
        <w:jc w:val="center"/>
        <w:rPr>
          <w:rFonts w:eastAsia="Times New Roman" w:asciiTheme="majorHAnsi" w:hAnsiTheme="majorHAnsi" w:cstheme="majorHAnsi"/>
          <w:sz w:val="20"/>
          <w:szCs w:val="20"/>
        </w:rPr>
      </w:pPr>
    </w:p>
    <w:p w14:paraId="2A02EA8F">
      <w:pPr>
        <w:spacing w:after="0" w:line="240" w:lineRule="auto"/>
        <w:jc w:val="center"/>
        <w:rPr>
          <w:rFonts w:eastAsia="Times New Roman" w:asciiTheme="majorHAnsi" w:hAnsiTheme="majorHAnsi" w:cstheme="majorHAnsi"/>
          <w:sz w:val="20"/>
          <w:szCs w:val="20"/>
        </w:rPr>
      </w:pPr>
    </w:p>
    <w:p w14:paraId="4F8EA0F2">
      <w:pPr>
        <w:spacing w:after="0" w:line="240" w:lineRule="auto"/>
        <w:jc w:val="center"/>
        <w:rPr>
          <w:rFonts w:eastAsia="Times New Roman" w:asciiTheme="majorHAnsi" w:hAnsiTheme="majorHAnsi" w:cstheme="majorHAnsi"/>
          <w:sz w:val="20"/>
          <w:szCs w:val="20"/>
        </w:rPr>
      </w:pPr>
    </w:p>
    <w:p w14:paraId="22D2FCF7">
      <w:pPr>
        <w:spacing w:after="0" w:line="240" w:lineRule="auto"/>
        <w:jc w:val="center"/>
        <w:rPr>
          <w:rFonts w:eastAsia="Times New Roman" w:asciiTheme="majorHAnsi" w:hAnsiTheme="majorHAnsi" w:cstheme="majorHAnsi"/>
          <w:sz w:val="20"/>
          <w:szCs w:val="20"/>
        </w:rPr>
      </w:pPr>
    </w:p>
    <w:p w14:paraId="5157C6B3">
      <w:pPr>
        <w:spacing w:after="0" w:line="240" w:lineRule="auto"/>
        <w:jc w:val="center"/>
        <w:rPr>
          <w:rFonts w:eastAsia="Times New Roman" w:asciiTheme="majorHAnsi" w:hAnsiTheme="majorHAnsi" w:cstheme="majorHAnsi"/>
          <w:sz w:val="20"/>
          <w:szCs w:val="20"/>
        </w:rPr>
      </w:pPr>
    </w:p>
    <w:p w14:paraId="3021FF46">
      <w:pPr>
        <w:spacing w:after="0" w:line="240" w:lineRule="auto"/>
        <w:jc w:val="center"/>
        <w:rPr>
          <w:rFonts w:eastAsia="Times New Roman" w:asciiTheme="majorHAnsi" w:hAnsiTheme="majorHAnsi" w:cstheme="majorHAnsi"/>
          <w:sz w:val="20"/>
          <w:szCs w:val="20"/>
        </w:rPr>
      </w:pPr>
    </w:p>
    <w:p w14:paraId="035D46C9">
      <w:pPr>
        <w:spacing w:after="0" w:line="240" w:lineRule="auto"/>
        <w:jc w:val="center"/>
        <w:rPr>
          <w:rFonts w:eastAsia="Times New Roman" w:asciiTheme="majorHAnsi" w:hAnsiTheme="majorHAnsi" w:cstheme="majorHAnsi"/>
          <w:sz w:val="20"/>
          <w:szCs w:val="20"/>
        </w:rPr>
      </w:pPr>
    </w:p>
    <w:p w14:paraId="28316F4A">
      <w:pPr>
        <w:spacing w:after="0" w:line="240" w:lineRule="auto"/>
        <w:jc w:val="center"/>
        <w:rPr>
          <w:rFonts w:eastAsia="Times New Roman" w:asciiTheme="majorHAnsi" w:hAnsiTheme="majorHAnsi" w:cstheme="majorHAnsi"/>
          <w:sz w:val="20"/>
          <w:szCs w:val="20"/>
        </w:rPr>
      </w:pPr>
    </w:p>
    <w:p w14:paraId="290FFD43">
      <w:pPr>
        <w:spacing w:after="0" w:line="240" w:lineRule="auto"/>
        <w:jc w:val="center"/>
        <w:rPr>
          <w:rFonts w:eastAsia="Times New Roman" w:asciiTheme="majorHAnsi" w:hAnsiTheme="majorHAnsi" w:cstheme="majorHAnsi"/>
          <w:sz w:val="20"/>
          <w:szCs w:val="20"/>
        </w:rPr>
      </w:pPr>
    </w:p>
    <w:p w14:paraId="20366657">
      <w:pPr>
        <w:spacing w:after="0" w:line="240" w:lineRule="auto"/>
        <w:jc w:val="center"/>
        <w:rPr>
          <w:rFonts w:eastAsia="Times New Roman" w:asciiTheme="majorHAnsi" w:hAnsiTheme="majorHAnsi" w:cstheme="majorHAnsi"/>
          <w:sz w:val="20"/>
          <w:szCs w:val="20"/>
        </w:rPr>
      </w:pPr>
    </w:p>
    <w:p w14:paraId="4275CD46">
      <w:pPr>
        <w:spacing w:after="0" w:line="240" w:lineRule="auto"/>
        <w:jc w:val="center"/>
        <w:rPr>
          <w:rFonts w:eastAsia="Times New Roman" w:asciiTheme="majorHAnsi" w:hAnsiTheme="majorHAnsi" w:cstheme="majorHAnsi"/>
          <w:sz w:val="20"/>
          <w:szCs w:val="20"/>
        </w:rPr>
      </w:pPr>
    </w:p>
    <w:p w14:paraId="3746A7F0">
      <w:pPr>
        <w:spacing w:after="0" w:line="240" w:lineRule="auto"/>
        <w:jc w:val="center"/>
        <w:rPr>
          <w:rFonts w:eastAsia="Times New Roman" w:asciiTheme="majorHAnsi" w:hAnsiTheme="majorHAnsi" w:cstheme="majorHAnsi"/>
          <w:sz w:val="20"/>
          <w:szCs w:val="20"/>
        </w:rPr>
      </w:pPr>
    </w:p>
    <w:p w14:paraId="5BFFE06E">
      <w:pPr>
        <w:spacing w:after="0" w:line="240" w:lineRule="auto"/>
        <w:jc w:val="center"/>
        <w:rPr>
          <w:rFonts w:eastAsia="Times New Roman" w:asciiTheme="majorHAnsi" w:hAnsiTheme="majorHAnsi" w:cstheme="majorHAnsi"/>
          <w:sz w:val="20"/>
          <w:szCs w:val="20"/>
        </w:rPr>
      </w:pPr>
    </w:p>
    <w:p w14:paraId="2A8D3802">
      <w:pPr>
        <w:spacing w:after="0" w:line="240" w:lineRule="auto"/>
        <w:jc w:val="center"/>
        <w:rPr>
          <w:rFonts w:eastAsia="Times New Roman" w:asciiTheme="majorHAnsi" w:hAnsiTheme="majorHAnsi" w:cstheme="majorHAnsi"/>
          <w:sz w:val="20"/>
          <w:szCs w:val="20"/>
        </w:rPr>
      </w:pPr>
    </w:p>
    <w:p w14:paraId="1A47D82B">
      <w:pPr>
        <w:shd w:val="clear" w:color="auto" w:fill="8EAADB" w:themeFill="accent1" w:themeFillTint="99"/>
        <w:spacing w:after="0"/>
        <w:jc w:val="center"/>
        <w:rPr>
          <w:rFonts w:eastAsia="Times New Roman" w:asciiTheme="majorHAnsi" w:hAnsiTheme="majorHAnsi" w:cstheme="majorHAnsi"/>
          <w:b/>
          <w:sz w:val="20"/>
          <w:szCs w:val="20"/>
        </w:rPr>
      </w:pPr>
      <w:r>
        <w:rPr>
          <w:rFonts w:eastAsia="Times New Roman" w:asciiTheme="majorHAnsi" w:hAnsiTheme="majorHAnsi" w:cstheme="majorHAnsi"/>
          <w:b/>
          <w:sz w:val="20"/>
          <w:szCs w:val="20"/>
        </w:rPr>
        <w:t>ANEXO A</w:t>
      </w:r>
    </w:p>
    <w:p w14:paraId="3BA143A9">
      <w:pPr>
        <w:shd w:val="clear" w:color="auto" w:fill="8EAADB" w:themeFill="accent1" w:themeFillTint="99"/>
        <w:tabs>
          <w:tab w:val="left" w:pos="1011"/>
          <w:tab w:val="center" w:pos="4252"/>
          <w:tab w:val="center" w:pos="4270"/>
          <w:tab w:val="right" w:pos="8504"/>
          <w:tab w:val="right" w:pos="8522"/>
        </w:tabs>
        <w:spacing w:after="0"/>
        <w:ind w:left="18"/>
        <w:jc w:val="center"/>
        <w:rPr>
          <w:rFonts w:eastAsia="Times New Roman" w:asciiTheme="majorHAnsi" w:hAnsiTheme="majorHAnsi" w:cstheme="majorHAnsi"/>
          <w:b/>
          <w:sz w:val="20"/>
          <w:szCs w:val="20"/>
        </w:rPr>
      </w:pPr>
      <w:r>
        <w:rPr>
          <w:rFonts w:eastAsia="Times New Roman" w:asciiTheme="majorHAnsi" w:hAnsiTheme="majorHAnsi" w:cstheme="majorHAnsi"/>
          <w:b/>
          <w:sz w:val="20"/>
          <w:szCs w:val="20"/>
        </w:rPr>
        <w:t>MODELO DE ORDEM DE FORNECIMENTO</w:t>
      </w:r>
    </w:p>
    <w:p w14:paraId="2773B61F">
      <w:pPr>
        <w:shd w:val="clear" w:color="auto" w:fill="8EAADB" w:themeFill="accent1" w:themeFillTint="99"/>
        <w:tabs>
          <w:tab w:val="left" w:pos="1011"/>
          <w:tab w:val="center" w:pos="4252"/>
          <w:tab w:val="center" w:pos="4270"/>
          <w:tab w:val="right" w:pos="8504"/>
          <w:tab w:val="right" w:pos="8522"/>
        </w:tabs>
        <w:spacing w:after="0"/>
        <w:ind w:left="18"/>
        <w:jc w:val="center"/>
        <w:rPr>
          <w:rFonts w:eastAsia="Times New Roman" w:asciiTheme="majorHAnsi" w:hAnsiTheme="majorHAnsi" w:cstheme="majorHAnsi"/>
          <w:sz w:val="20"/>
          <w:szCs w:val="20"/>
        </w:rPr>
      </w:pPr>
    </w:p>
    <w:p w14:paraId="552CC063">
      <w:pPr>
        <w:tabs>
          <w:tab w:val="left" w:pos="1011"/>
          <w:tab w:val="center" w:pos="4252"/>
          <w:tab w:val="center" w:pos="4270"/>
          <w:tab w:val="right" w:pos="8504"/>
          <w:tab w:val="right" w:pos="8522"/>
        </w:tabs>
        <w:spacing w:after="0"/>
        <w:ind w:left="18"/>
        <w:jc w:val="center"/>
        <w:rPr>
          <w:rFonts w:eastAsia="Times New Roman" w:asciiTheme="majorHAnsi" w:hAnsiTheme="majorHAnsi" w:cstheme="majorHAnsi"/>
          <w:sz w:val="20"/>
          <w:szCs w:val="20"/>
        </w:rPr>
      </w:pPr>
    </w:p>
    <w:p w14:paraId="315A723F">
      <w:pPr>
        <w:spacing w:before="57" w:after="0" w:line="288" w:lineRule="auto"/>
        <w:ind w:left="27"/>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Referente à NOTA DE EMPENHO n° _________</w:t>
      </w:r>
    </w:p>
    <w:p w14:paraId="2F8E7525">
      <w:pPr>
        <w:spacing w:before="57" w:after="0" w:line="288" w:lineRule="auto"/>
        <w:ind w:left="27"/>
        <w:jc w:val="both"/>
        <w:rPr>
          <w:rFonts w:eastAsia="Times New Roman" w:asciiTheme="majorHAnsi" w:hAnsiTheme="majorHAnsi" w:cstheme="majorHAnsi"/>
          <w:sz w:val="20"/>
          <w:szCs w:val="20"/>
        </w:rPr>
      </w:pPr>
    </w:p>
    <w:p w14:paraId="5E7F7FD9">
      <w:pPr>
        <w:spacing w:before="57" w:after="0" w:line="288" w:lineRule="auto"/>
        <w:ind w:left="27"/>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OBJETO:</w:t>
      </w:r>
    </w:p>
    <w:tbl>
      <w:tblPr>
        <w:tblStyle w:val="130"/>
        <w:tblW w:w="9425" w:type="dxa"/>
        <w:tblInd w:w="-115" w:type="dxa"/>
        <w:tblLayout w:type="fixed"/>
        <w:tblCellMar>
          <w:top w:w="0" w:type="dxa"/>
          <w:left w:w="115" w:type="dxa"/>
          <w:bottom w:w="0" w:type="dxa"/>
          <w:right w:w="115" w:type="dxa"/>
        </w:tblCellMar>
      </w:tblPr>
      <w:tblGrid>
        <w:gridCol w:w="950"/>
        <w:gridCol w:w="3298"/>
        <w:gridCol w:w="1918"/>
        <w:gridCol w:w="3259"/>
      </w:tblGrid>
      <w:tr w14:paraId="0D23AD0C">
        <w:tblPrEx>
          <w:tblCellMar>
            <w:top w:w="0" w:type="dxa"/>
            <w:left w:w="115" w:type="dxa"/>
            <w:bottom w:w="0" w:type="dxa"/>
            <w:right w:w="115" w:type="dxa"/>
          </w:tblCellMar>
        </w:tblPrEx>
        <w:trPr>
          <w:trHeight w:val="701" w:hRule="atLeast"/>
        </w:trPr>
        <w:tc>
          <w:tcPr>
            <w:tcW w:w="950"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1DC91461">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Item</w:t>
            </w:r>
          </w:p>
        </w:tc>
        <w:tc>
          <w:tcPr>
            <w:tcW w:w="3298"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2A5D1C14">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Objeto</w:t>
            </w:r>
          </w:p>
        </w:tc>
        <w:tc>
          <w:tcPr>
            <w:tcW w:w="1918" w:type="dxa"/>
            <w:tcBorders>
              <w:top w:val="single" w:color="000000" w:sz="4" w:space="0"/>
              <w:bottom w:val="single" w:color="000000" w:sz="4" w:space="0"/>
              <w:right w:val="single" w:color="000000" w:sz="4" w:space="0"/>
            </w:tcBorders>
            <w:shd w:val="clear" w:color="auto" w:fill="8EAADB" w:themeFill="accent1" w:themeFillTint="99"/>
            <w:vAlign w:val="center"/>
          </w:tcPr>
          <w:p w14:paraId="759EA905">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CÓDIGO DO E-FISCO</w:t>
            </w:r>
          </w:p>
        </w:tc>
        <w:tc>
          <w:tcPr>
            <w:tcW w:w="3259"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7266DCD7">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Quantidade</w:t>
            </w:r>
          </w:p>
          <w:p w14:paraId="66FC9BB9">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(Unidade de Fornecimento)</w:t>
            </w:r>
          </w:p>
        </w:tc>
      </w:tr>
      <w:tr w14:paraId="2B9072FB">
        <w:tblPrEx>
          <w:tblCellMar>
            <w:top w:w="0" w:type="dxa"/>
            <w:left w:w="115" w:type="dxa"/>
            <w:bottom w:w="0" w:type="dxa"/>
            <w:right w:w="115" w:type="dxa"/>
          </w:tblCellMar>
        </w:tblPrEx>
        <w:trPr>
          <w:trHeight w:val="556" w:hRule="atLeast"/>
        </w:trPr>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0190">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01</w:t>
            </w:r>
          </w:p>
        </w:tc>
        <w:tc>
          <w:tcPr>
            <w:tcW w:w="3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62C26">
            <w:pPr>
              <w:widowControl w:val="0"/>
              <w:autoSpaceDE w:val="0"/>
              <w:autoSpaceDN w:val="0"/>
              <w:spacing w:after="0" w:line="240" w:lineRule="auto"/>
              <w:rPr>
                <w:rFonts w:eastAsia="Times New Roman" w:asciiTheme="majorHAnsi" w:hAnsiTheme="majorHAnsi" w:cstheme="majorHAnsi"/>
                <w:b/>
                <w:sz w:val="20"/>
                <w:szCs w:val="20"/>
                <w:lang w:val="en-US"/>
              </w:rPr>
            </w:pPr>
          </w:p>
        </w:tc>
        <w:tc>
          <w:tcPr>
            <w:tcW w:w="1918" w:type="dxa"/>
            <w:tcBorders>
              <w:top w:val="single" w:color="000000" w:sz="4" w:space="0"/>
              <w:bottom w:val="single" w:color="000000" w:sz="4" w:space="0"/>
              <w:right w:val="single" w:color="000000" w:sz="4" w:space="0"/>
            </w:tcBorders>
            <w:shd w:val="clear" w:color="auto" w:fill="auto"/>
            <w:vAlign w:val="center"/>
          </w:tcPr>
          <w:p w14:paraId="156DF713">
            <w:pPr>
              <w:widowControl w:val="0"/>
              <w:autoSpaceDE w:val="0"/>
              <w:autoSpaceDN w:val="0"/>
              <w:spacing w:after="0" w:line="240" w:lineRule="auto"/>
              <w:jc w:val="center"/>
              <w:rPr>
                <w:rFonts w:eastAsia="Times New Roman" w:asciiTheme="majorHAnsi" w:hAnsiTheme="majorHAnsi" w:cstheme="majorHAnsi"/>
                <w:b/>
                <w:sz w:val="20"/>
                <w:szCs w:val="20"/>
                <w:lang w:val="en-US"/>
              </w:rPr>
            </w:pPr>
          </w:p>
        </w:tc>
        <w:tc>
          <w:tcPr>
            <w:tcW w:w="3259" w:type="dxa"/>
            <w:tcBorders>
              <w:top w:val="single" w:color="000000" w:sz="4" w:space="0"/>
              <w:left w:val="single" w:color="000000" w:sz="4" w:space="0"/>
              <w:bottom w:val="single" w:color="000000" w:sz="4" w:space="0"/>
              <w:right w:val="single" w:color="000000" w:sz="4" w:space="0"/>
            </w:tcBorders>
            <w:shd w:val="clear" w:color="auto" w:fill="auto"/>
          </w:tcPr>
          <w:p w14:paraId="4F5BFB1F">
            <w:pPr>
              <w:widowControl w:val="0"/>
              <w:autoSpaceDE w:val="0"/>
              <w:autoSpaceDN w:val="0"/>
              <w:spacing w:after="0" w:line="240" w:lineRule="auto"/>
              <w:jc w:val="center"/>
              <w:rPr>
                <w:rFonts w:eastAsia="Times New Roman" w:asciiTheme="majorHAnsi" w:hAnsiTheme="majorHAnsi" w:cstheme="majorHAnsi"/>
                <w:b/>
                <w:sz w:val="20"/>
                <w:szCs w:val="20"/>
                <w:lang w:val="en-US"/>
              </w:rPr>
            </w:pPr>
          </w:p>
        </w:tc>
      </w:tr>
      <w:tr w14:paraId="1194BC4D">
        <w:tblPrEx>
          <w:tblCellMar>
            <w:top w:w="0" w:type="dxa"/>
            <w:left w:w="115" w:type="dxa"/>
            <w:bottom w:w="0" w:type="dxa"/>
            <w:right w:w="115" w:type="dxa"/>
          </w:tblCellMar>
        </w:tblPrEx>
        <w:trPr>
          <w:trHeight w:val="283" w:hRule="atLeast"/>
        </w:trPr>
        <w:tc>
          <w:tcPr>
            <w:tcW w:w="950" w:type="dxa"/>
            <w:tcBorders>
              <w:left w:val="single" w:color="000000" w:sz="4" w:space="0"/>
              <w:right w:val="single" w:color="000000" w:sz="4" w:space="0"/>
            </w:tcBorders>
            <w:shd w:val="clear" w:color="auto" w:fill="auto"/>
            <w:vAlign w:val="center"/>
          </w:tcPr>
          <w:p w14:paraId="01D1F4A2">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02</w:t>
            </w:r>
          </w:p>
        </w:tc>
        <w:tc>
          <w:tcPr>
            <w:tcW w:w="3298" w:type="dxa"/>
            <w:tcBorders>
              <w:left w:val="single" w:color="000000" w:sz="4" w:space="0"/>
              <w:right w:val="single" w:color="000000" w:sz="4" w:space="0"/>
            </w:tcBorders>
            <w:shd w:val="clear" w:color="auto" w:fill="auto"/>
            <w:vAlign w:val="center"/>
          </w:tcPr>
          <w:p w14:paraId="19AAD722">
            <w:pPr>
              <w:widowControl w:val="0"/>
              <w:autoSpaceDE w:val="0"/>
              <w:autoSpaceDN w:val="0"/>
              <w:spacing w:after="0" w:line="240" w:lineRule="auto"/>
              <w:rPr>
                <w:rFonts w:eastAsia="Times New Roman" w:asciiTheme="majorHAnsi" w:hAnsiTheme="majorHAnsi" w:cstheme="majorHAnsi"/>
                <w:b/>
                <w:sz w:val="20"/>
                <w:szCs w:val="20"/>
                <w:lang w:val="en-US"/>
              </w:rPr>
            </w:pPr>
          </w:p>
        </w:tc>
        <w:tc>
          <w:tcPr>
            <w:tcW w:w="1918" w:type="dxa"/>
            <w:tcBorders>
              <w:right w:val="single" w:color="000000" w:sz="4" w:space="0"/>
            </w:tcBorders>
            <w:shd w:val="clear" w:color="auto" w:fill="auto"/>
            <w:vAlign w:val="center"/>
          </w:tcPr>
          <w:p w14:paraId="2DD8777A">
            <w:pPr>
              <w:widowControl w:val="0"/>
              <w:autoSpaceDE w:val="0"/>
              <w:autoSpaceDN w:val="0"/>
              <w:spacing w:after="0" w:line="240" w:lineRule="auto"/>
              <w:jc w:val="center"/>
              <w:rPr>
                <w:rFonts w:eastAsia="Times New Roman" w:asciiTheme="majorHAnsi" w:hAnsiTheme="majorHAnsi" w:cstheme="majorHAnsi"/>
                <w:b/>
                <w:sz w:val="20"/>
                <w:szCs w:val="20"/>
                <w:lang w:val="en-US"/>
              </w:rPr>
            </w:pPr>
          </w:p>
        </w:tc>
        <w:tc>
          <w:tcPr>
            <w:tcW w:w="3259" w:type="dxa"/>
            <w:tcBorders>
              <w:top w:val="single" w:color="000000" w:sz="4" w:space="0"/>
              <w:left w:val="single" w:color="000000" w:sz="4" w:space="0"/>
              <w:bottom w:val="single" w:color="000000" w:sz="4" w:space="0"/>
              <w:right w:val="single" w:color="000000" w:sz="4" w:space="0"/>
            </w:tcBorders>
            <w:shd w:val="clear" w:color="auto" w:fill="auto"/>
          </w:tcPr>
          <w:p w14:paraId="4F6C70BD">
            <w:pPr>
              <w:widowControl w:val="0"/>
              <w:autoSpaceDE w:val="0"/>
              <w:autoSpaceDN w:val="0"/>
              <w:spacing w:after="0" w:line="240" w:lineRule="auto"/>
              <w:jc w:val="center"/>
              <w:rPr>
                <w:rFonts w:eastAsia="Times New Roman" w:asciiTheme="majorHAnsi" w:hAnsiTheme="majorHAnsi" w:cstheme="majorHAnsi"/>
                <w:b/>
                <w:sz w:val="20"/>
                <w:szCs w:val="20"/>
                <w:lang w:val="en-US"/>
              </w:rPr>
            </w:pPr>
          </w:p>
        </w:tc>
      </w:tr>
      <w:tr w14:paraId="794A492A">
        <w:tblPrEx>
          <w:tblCellMar>
            <w:top w:w="0" w:type="dxa"/>
            <w:left w:w="115" w:type="dxa"/>
            <w:bottom w:w="0" w:type="dxa"/>
            <w:right w:w="115" w:type="dxa"/>
          </w:tblCellMar>
        </w:tblPrEx>
        <w:trPr>
          <w:trHeight w:val="283" w:hRule="atLeast"/>
        </w:trPr>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E7C0F">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03</w:t>
            </w:r>
          </w:p>
        </w:tc>
        <w:tc>
          <w:tcPr>
            <w:tcW w:w="329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13C6BC">
            <w:pPr>
              <w:widowControl w:val="0"/>
              <w:autoSpaceDE w:val="0"/>
              <w:autoSpaceDN w:val="0"/>
              <w:spacing w:after="0" w:line="240" w:lineRule="auto"/>
              <w:rPr>
                <w:rFonts w:eastAsia="Times New Roman" w:asciiTheme="majorHAnsi" w:hAnsiTheme="majorHAnsi" w:cstheme="majorHAnsi"/>
                <w:b/>
                <w:sz w:val="20"/>
                <w:szCs w:val="20"/>
                <w:lang w:val="en-US"/>
              </w:rPr>
            </w:pPr>
          </w:p>
        </w:tc>
        <w:tc>
          <w:tcPr>
            <w:tcW w:w="1918" w:type="dxa"/>
            <w:tcBorders>
              <w:top w:val="single" w:color="000000" w:sz="4" w:space="0"/>
              <w:bottom w:val="single" w:color="000000" w:sz="4" w:space="0"/>
              <w:right w:val="single" w:color="000000" w:sz="4" w:space="0"/>
            </w:tcBorders>
            <w:shd w:val="clear" w:color="auto" w:fill="auto"/>
            <w:vAlign w:val="center"/>
          </w:tcPr>
          <w:p w14:paraId="786CF4F5">
            <w:pPr>
              <w:widowControl w:val="0"/>
              <w:autoSpaceDE w:val="0"/>
              <w:autoSpaceDN w:val="0"/>
              <w:spacing w:after="0" w:line="240" w:lineRule="auto"/>
              <w:jc w:val="center"/>
              <w:rPr>
                <w:rFonts w:eastAsia="Times New Roman" w:asciiTheme="majorHAnsi" w:hAnsiTheme="majorHAnsi" w:cstheme="majorHAnsi"/>
                <w:b/>
                <w:sz w:val="20"/>
                <w:szCs w:val="20"/>
                <w:lang w:val="en-US"/>
              </w:rPr>
            </w:pPr>
          </w:p>
        </w:tc>
        <w:tc>
          <w:tcPr>
            <w:tcW w:w="3259" w:type="dxa"/>
            <w:tcBorders>
              <w:top w:val="single" w:color="000000" w:sz="4" w:space="0"/>
              <w:left w:val="single" w:color="000000" w:sz="4" w:space="0"/>
              <w:bottom w:val="single" w:color="000000" w:sz="4" w:space="0"/>
              <w:right w:val="single" w:color="000000" w:sz="4" w:space="0"/>
            </w:tcBorders>
            <w:shd w:val="clear" w:color="auto" w:fill="auto"/>
          </w:tcPr>
          <w:p w14:paraId="75F180DD">
            <w:pPr>
              <w:widowControl w:val="0"/>
              <w:tabs>
                <w:tab w:val="left" w:pos="705"/>
              </w:tabs>
              <w:autoSpaceDE w:val="0"/>
              <w:autoSpaceDN w:val="0"/>
              <w:spacing w:after="0" w:line="240" w:lineRule="auto"/>
              <w:jc w:val="center"/>
              <w:rPr>
                <w:rFonts w:eastAsia="Times New Roman" w:asciiTheme="majorHAnsi" w:hAnsiTheme="majorHAnsi" w:cstheme="majorHAnsi"/>
                <w:b/>
                <w:sz w:val="20"/>
                <w:szCs w:val="20"/>
                <w:lang w:val="en-US"/>
              </w:rPr>
            </w:pPr>
          </w:p>
        </w:tc>
      </w:tr>
      <w:tr w14:paraId="6F6C36EC">
        <w:tblPrEx>
          <w:tblCellMar>
            <w:top w:w="0" w:type="dxa"/>
            <w:left w:w="115" w:type="dxa"/>
            <w:bottom w:w="0" w:type="dxa"/>
            <w:right w:w="115" w:type="dxa"/>
          </w:tblCellMar>
        </w:tblPrEx>
        <w:trPr>
          <w:trHeight w:val="283" w:hRule="atLeast"/>
        </w:trPr>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5E12C">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w:t>
            </w:r>
          </w:p>
        </w:tc>
        <w:tc>
          <w:tcPr>
            <w:tcW w:w="329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9A6F809">
            <w:pPr>
              <w:widowControl w:val="0"/>
              <w:autoSpaceDE w:val="0"/>
              <w:autoSpaceDN w:val="0"/>
              <w:spacing w:after="0" w:line="240" w:lineRule="auto"/>
              <w:rPr>
                <w:rFonts w:eastAsia="Times New Roman" w:asciiTheme="majorHAnsi" w:hAnsiTheme="majorHAnsi" w:cstheme="majorHAnsi"/>
                <w:sz w:val="20"/>
                <w:szCs w:val="20"/>
                <w:lang w:val="en-US"/>
              </w:rPr>
            </w:pPr>
          </w:p>
        </w:tc>
        <w:tc>
          <w:tcPr>
            <w:tcW w:w="1918" w:type="dxa"/>
            <w:tcBorders>
              <w:top w:val="single" w:color="000000" w:sz="4" w:space="0"/>
              <w:bottom w:val="single" w:color="000000" w:sz="4" w:space="0"/>
              <w:right w:val="single" w:color="000000" w:sz="4" w:space="0"/>
            </w:tcBorders>
            <w:shd w:val="clear" w:color="auto" w:fill="auto"/>
            <w:vAlign w:val="center"/>
          </w:tcPr>
          <w:p w14:paraId="6B6E05F2">
            <w:pPr>
              <w:widowControl w:val="0"/>
              <w:autoSpaceDE w:val="0"/>
              <w:autoSpaceDN w:val="0"/>
              <w:spacing w:after="0" w:line="240" w:lineRule="auto"/>
              <w:jc w:val="center"/>
              <w:rPr>
                <w:rFonts w:eastAsia="Times New Roman" w:asciiTheme="majorHAnsi" w:hAnsiTheme="majorHAnsi" w:cstheme="majorHAnsi"/>
                <w:b/>
                <w:sz w:val="20"/>
                <w:szCs w:val="20"/>
                <w:lang w:val="en-US"/>
              </w:rPr>
            </w:pPr>
          </w:p>
        </w:tc>
        <w:tc>
          <w:tcPr>
            <w:tcW w:w="3259" w:type="dxa"/>
            <w:tcBorders>
              <w:top w:val="single" w:color="000000" w:sz="4" w:space="0"/>
              <w:left w:val="single" w:color="000000" w:sz="4" w:space="0"/>
              <w:bottom w:val="single" w:color="000000" w:sz="4" w:space="0"/>
              <w:right w:val="single" w:color="000000" w:sz="4" w:space="0"/>
            </w:tcBorders>
            <w:shd w:val="clear" w:color="auto" w:fill="auto"/>
          </w:tcPr>
          <w:p w14:paraId="65B338F1">
            <w:pPr>
              <w:widowControl w:val="0"/>
              <w:autoSpaceDE w:val="0"/>
              <w:autoSpaceDN w:val="0"/>
              <w:spacing w:after="0" w:line="240" w:lineRule="auto"/>
              <w:jc w:val="center"/>
              <w:rPr>
                <w:rFonts w:eastAsia="Times New Roman" w:asciiTheme="majorHAnsi" w:hAnsiTheme="majorHAnsi" w:cstheme="majorHAnsi"/>
                <w:b/>
                <w:sz w:val="20"/>
                <w:szCs w:val="20"/>
                <w:lang w:val="en-US"/>
              </w:rPr>
            </w:pPr>
          </w:p>
        </w:tc>
      </w:tr>
    </w:tbl>
    <w:p w14:paraId="41579F54">
      <w:pPr>
        <w:spacing w:before="57" w:after="0" w:line="288" w:lineRule="auto"/>
        <w:ind w:left="27"/>
        <w:jc w:val="both"/>
        <w:rPr>
          <w:rFonts w:eastAsia="Times New Roman" w:asciiTheme="majorHAnsi" w:hAnsiTheme="majorHAnsi" w:cstheme="majorHAnsi"/>
          <w:b/>
          <w:sz w:val="20"/>
          <w:szCs w:val="20"/>
        </w:rPr>
      </w:pPr>
    </w:p>
    <w:p w14:paraId="765E89DA">
      <w:pPr>
        <w:spacing w:before="57" w:after="0" w:line="288" w:lineRule="auto"/>
        <w:ind w:left="27"/>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VALOR:</w:t>
      </w:r>
    </w:p>
    <w:p w14:paraId="00F0ED4E">
      <w:pPr>
        <w:spacing w:before="57" w:after="0" w:line="288" w:lineRule="auto"/>
        <w:ind w:left="27"/>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PRAZO DE ENTREGA:</w:t>
      </w:r>
    </w:p>
    <w:p w14:paraId="4895278B">
      <w:pPr>
        <w:spacing w:before="57" w:after="0" w:line="288" w:lineRule="auto"/>
        <w:ind w:left="27"/>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LOCAL E HORÁRIO DE ENTREGA:</w:t>
      </w:r>
    </w:p>
    <w:p w14:paraId="652FD35A">
      <w:pPr>
        <w:spacing w:before="57" w:after="0" w:line="288" w:lineRule="auto"/>
        <w:ind w:left="27"/>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SERVIDOR DESIGNADO PARA RECEBIMENTO:</w:t>
      </w:r>
    </w:p>
    <w:p w14:paraId="23C57281">
      <w:pPr>
        <w:spacing w:before="57" w:after="0" w:line="288" w:lineRule="auto"/>
        <w:ind w:left="27"/>
        <w:jc w:val="both"/>
        <w:rPr>
          <w:rFonts w:eastAsia="Times New Roman" w:asciiTheme="majorHAnsi" w:hAnsiTheme="majorHAnsi" w:cstheme="majorHAnsi"/>
          <w:sz w:val="20"/>
          <w:szCs w:val="20"/>
        </w:rPr>
      </w:pPr>
      <w:r>
        <w:rPr>
          <w:rFonts w:eastAsia="Times New Roman" w:asciiTheme="majorHAnsi" w:hAnsiTheme="majorHAnsi" w:cstheme="majorHAnsi"/>
          <w:b/>
          <w:sz w:val="20"/>
          <w:szCs w:val="20"/>
        </w:rPr>
        <w:t xml:space="preserve">                                         </w:t>
      </w:r>
    </w:p>
    <w:p w14:paraId="35A0E512">
      <w:pPr>
        <w:spacing w:before="57" w:after="0" w:line="288" w:lineRule="auto"/>
        <w:ind w:left="27"/>
        <w:jc w:val="both"/>
        <w:rPr>
          <w:rFonts w:eastAsia="Times New Roman" w:asciiTheme="majorHAnsi" w:hAnsiTheme="majorHAnsi" w:cstheme="majorHAnsi"/>
          <w:sz w:val="20"/>
          <w:szCs w:val="20"/>
        </w:rPr>
      </w:pPr>
    </w:p>
    <w:p w14:paraId="12EC35F4">
      <w:pPr>
        <w:spacing w:after="0"/>
        <w:jc w:val="both"/>
        <w:rPr>
          <w:rFonts w:eastAsia="Times New Roman" w:asciiTheme="majorHAnsi" w:hAnsiTheme="majorHAnsi" w:cstheme="majorHAnsi"/>
          <w:sz w:val="20"/>
          <w:szCs w:val="20"/>
        </w:rPr>
      </w:pPr>
      <w:r>
        <w:rPr>
          <w:rFonts w:eastAsia="Times New Roman" w:asciiTheme="majorHAnsi" w:hAnsiTheme="majorHAnsi" w:cstheme="majorHAnsi"/>
          <w:sz w:val="20"/>
          <w:szCs w:val="20"/>
        </w:rPr>
        <w:t>Os bens deverão ser entregues em conformidade com as especificações técnicas e demais condições exigidas no Termo de Referência.</w:t>
      </w:r>
    </w:p>
    <w:p w14:paraId="68CC46A7">
      <w:pPr>
        <w:spacing w:after="0"/>
        <w:jc w:val="both"/>
        <w:rPr>
          <w:rFonts w:eastAsia="Times New Roman" w:asciiTheme="majorHAnsi" w:hAnsiTheme="majorHAnsi" w:cstheme="majorHAnsi"/>
          <w:sz w:val="20"/>
          <w:szCs w:val="20"/>
        </w:rPr>
      </w:pPr>
    </w:p>
    <w:p w14:paraId="1BAA7C58">
      <w:pPr>
        <w:spacing w:after="0"/>
        <w:jc w:val="both"/>
        <w:rPr>
          <w:rFonts w:eastAsia="Times New Roman" w:asciiTheme="majorHAnsi" w:hAnsiTheme="majorHAnsi" w:cstheme="majorHAnsi"/>
          <w:sz w:val="20"/>
          <w:szCs w:val="20"/>
        </w:rPr>
      </w:pPr>
      <w:r>
        <w:rPr>
          <w:rFonts w:eastAsia="Times New Roman" w:asciiTheme="majorHAnsi" w:hAnsiTheme="majorHAnsi" w:cstheme="majorHAnsi"/>
          <w:sz w:val="20"/>
          <w:szCs w:val="20"/>
        </w:rPr>
        <w:t>Integram este instrumento o Edital de Pregão Eletrônico n.º ____________ e seus Anexos, bem como a Proposta apresentada na licitação, independentemente de transcrição.</w:t>
      </w:r>
    </w:p>
    <w:p w14:paraId="49C0ADC2">
      <w:pPr>
        <w:spacing w:after="0"/>
        <w:jc w:val="both"/>
        <w:rPr>
          <w:rFonts w:eastAsia="Times New Roman" w:asciiTheme="majorHAnsi" w:hAnsiTheme="majorHAnsi" w:cstheme="majorHAnsi"/>
          <w:sz w:val="20"/>
          <w:szCs w:val="20"/>
        </w:rPr>
      </w:pPr>
    </w:p>
    <w:p w14:paraId="2E8FA90E">
      <w:pPr>
        <w:spacing w:after="0"/>
        <w:jc w:val="both"/>
        <w:rPr>
          <w:rFonts w:eastAsia="Times New Roman" w:asciiTheme="majorHAnsi" w:hAnsiTheme="majorHAnsi" w:cstheme="majorHAnsi"/>
          <w:sz w:val="20"/>
          <w:szCs w:val="20"/>
        </w:rPr>
      </w:pPr>
    </w:p>
    <w:p w14:paraId="219B6A34">
      <w:pPr>
        <w:spacing w:after="0"/>
        <w:jc w:val="both"/>
        <w:rPr>
          <w:rFonts w:eastAsia="Times New Roman" w:asciiTheme="majorHAnsi" w:hAnsiTheme="majorHAnsi" w:cstheme="majorHAnsi"/>
          <w:sz w:val="20"/>
          <w:szCs w:val="20"/>
        </w:rPr>
      </w:pPr>
    </w:p>
    <w:p w14:paraId="0C2EE9A8">
      <w:pPr>
        <w:spacing w:after="0"/>
        <w:jc w:val="center"/>
        <w:rPr>
          <w:rFonts w:eastAsia="Times New Roman" w:asciiTheme="majorHAnsi" w:hAnsiTheme="majorHAnsi" w:cstheme="majorHAnsi"/>
          <w:sz w:val="20"/>
          <w:szCs w:val="20"/>
        </w:rPr>
      </w:pPr>
      <w:r>
        <w:rPr>
          <w:rFonts w:eastAsia="Times New Roman" w:asciiTheme="majorHAnsi" w:hAnsiTheme="majorHAnsi" w:cstheme="majorHAnsi"/>
          <w:sz w:val="20"/>
          <w:szCs w:val="20"/>
        </w:rPr>
        <w:t>Local, data.</w:t>
      </w:r>
    </w:p>
    <w:p w14:paraId="18793A30">
      <w:pPr>
        <w:spacing w:after="0"/>
        <w:jc w:val="center"/>
        <w:rPr>
          <w:rFonts w:eastAsia="Times New Roman" w:asciiTheme="majorHAnsi" w:hAnsiTheme="majorHAnsi" w:cstheme="majorHAnsi"/>
          <w:sz w:val="20"/>
          <w:szCs w:val="20"/>
        </w:rPr>
      </w:pPr>
    </w:p>
    <w:p w14:paraId="7338C4A4">
      <w:pPr>
        <w:spacing w:after="0"/>
        <w:jc w:val="center"/>
        <w:rPr>
          <w:rFonts w:eastAsia="Times New Roman" w:asciiTheme="majorHAnsi" w:hAnsiTheme="majorHAnsi" w:cstheme="majorHAnsi"/>
          <w:sz w:val="20"/>
          <w:szCs w:val="20"/>
        </w:rPr>
      </w:pPr>
    </w:p>
    <w:p w14:paraId="6E3367C4">
      <w:pPr>
        <w:spacing w:after="0"/>
        <w:jc w:val="center"/>
        <w:rPr>
          <w:rFonts w:eastAsia="Times New Roman" w:asciiTheme="majorHAnsi" w:hAnsiTheme="majorHAnsi" w:cstheme="majorHAnsi"/>
          <w:sz w:val="20"/>
          <w:szCs w:val="20"/>
        </w:rPr>
      </w:pPr>
      <w:r>
        <w:rPr>
          <w:rFonts w:eastAsia="Times New Roman" w:asciiTheme="majorHAnsi" w:hAnsiTheme="majorHAnsi" w:cstheme="majorHAnsi"/>
          <w:sz w:val="20"/>
          <w:szCs w:val="20"/>
        </w:rPr>
        <w:t>Nome e assinatura do servidor responsável</w:t>
      </w:r>
    </w:p>
    <w:p w14:paraId="7CA02162">
      <w:pPr>
        <w:spacing w:after="0"/>
        <w:jc w:val="center"/>
        <w:rPr>
          <w:rFonts w:eastAsia="Times New Roman" w:asciiTheme="majorHAnsi" w:hAnsiTheme="majorHAnsi" w:cstheme="majorHAnsi"/>
          <w:sz w:val="20"/>
          <w:szCs w:val="20"/>
        </w:rPr>
      </w:pPr>
    </w:p>
    <w:p w14:paraId="63B6942B">
      <w:pPr>
        <w:spacing w:after="0"/>
        <w:rPr>
          <w:rFonts w:eastAsia="Times New Roman" w:asciiTheme="majorHAnsi" w:hAnsiTheme="majorHAnsi" w:cstheme="majorHAnsi"/>
          <w:sz w:val="20"/>
          <w:szCs w:val="20"/>
        </w:rPr>
      </w:pPr>
    </w:p>
    <w:p w14:paraId="2E5DEDD3">
      <w:pPr>
        <w:spacing w:after="0"/>
        <w:rPr>
          <w:rFonts w:eastAsia="Times New Roman" w:asciiTheme="majorHAnsi" w:hAnsiTheme="majorHAnsi" w:cstheme="majorHAnsi"/>
          <w:sz w:val="20"/>
          <w:szCs w:val="20"/>
        </w:rPr>
      </w:pPr>
    </w:p>
    <w:p w14:paraId="57BC8DF3">
      <w:pPr>
        <w:spacing w:after="0"/>
        <w:rPr>
          <w:rFonts w:eastAsia="Times New Roman" w:asciiTheme="majorHAnsi" w:hAnsiTheme="majorHAnsi" w:cstheme="majorHAnsi"/>
          <w:sz w:val="20"/>
          <w:szCs w:val="20"/>
        </w:rPr>
      </w:pPr>
    </w:p>
    <w:p w14:paraId="4122BF39">
      <w:pPr>
        <w:spacing w:after="0"/>
        <w:rPr>
          <w:rFonts w:eastAsia="Times New Roman" w:asciiTheme="majorHAnsi" w:hAnsiTheme="majorHAnsi" w:cstheme="majorHAnsi"/>
          <w:sz w:val="20"/>
          <w:szCs w:val="20"/>
        </w:rPr>
      </w:pPr>
    </w:p>
    <w:p w14:paraId="5F76A311">
      <w:pPr>
        <w:spacing w:after="0"/>
        <w:rPr>
          <w:rFonts w:eastAsia="Times New Roman" w:asciiTheme="majorHAnsi" w:hAnsiTheme="majorHAnsi" w:cstheme="majorHAnsi"/>
          <w:sz w:val="20"/>
          <w:szCs w:val="20"/>
        </w:rPr>
      </w:pPr>
    </w:p>
    <w:p w14:paraId="34518324">
      <w:pPr>
        <w:spacing w:after="0"/>
        <w:rPr>
          <w:rFonts w:eastAsia="Times New Roman" w:asciiTheme="majorHAnsi" w:hAnsiTheme="majorHAnsi" w:cstheme="majorHAnsi"/>
          <w:sz w:val="20"/>
          <w:szCs w:val="20"/>
        </w:rPr>
      </w:pPr>
    </w:p>
    <w:p w14:paraId="059FA87F">
      <w:pPr>
        <w:spacing w:after="0"/>
        <w:rPr>
          <w:rFonts w:eastAsia="Times New Roman" w:asciiTheme="majorHAnsi" w:hAnsiTheme="majorHAnsi" w:cstheme="majorHAnsi"/>
          <w:sz w:val="20"/>
          <w:szCs w:val="20"/>
        </w:rPr>
      </w:pPr>
    </w:p>
    <w:p w14:paraId="371EC25E">
      <w:pPr>
        <w:spacing w:after="0"/>
        <w:rPr>
          <w:rFonts w:eastAsia="Times New Roman" w:asciiTheme="majorHAnsi" w:hAnsiTheme="majorHAnsi" w:cstheme="majorHAnsi"/>
          <w:sz w:val="20"/>
          <w:szCs w:val="20"/>
        </w:rPr>
      </w:pPr>
    </w:p>
    <w:p w14:paraId="60620078">
      <w:pPr>
        <w:spacing w:after="0"/>
        <w:rPr>
          <w:rFonts w:eastAsia="Times New Roman" w:asciiTheme="majorHAnsi" w:hAnsiTheme="majorHAnsi" w:cstheme="majorHAnsi"/>
          <w:sz w:val="20"/>
          <w:szCs w:val="20"/>
        </w:rPr>
      </w:pPr>
    </w:p>
    <w:p w14:paraId="1EE54E94">
      <w:pPr>
        <w:spacing w:after="0"/>
        <w:rPr>
          <w:rFonts w:eastAsia="Times New Roman" w:asciiTheme="majorHAnsi" w:hAnsiTheme="majorHAnsi" w:cstheme="majorHAnsi"/>
          <w:sz w:val="20"/>
          <w:szCs w:val="20"/>
        </w:rPr>
      </w:pPr>
    </w:p>
    <w:p w14:paraId="250309E8">
      <w:pPr>
        <w:shd w:val="clear" w:color="auto" w:fill="8EAADB" w:themeFill="accent1" w:themeFillTint="99"/>
        <w:spacing w:before="120" w:after="0" w:line="240" w:lineRule="auto"/>
        <w:jc w:val="center"/>
        <w:rPr>
          <w:rFonts w:eastAsia="Times New Roman" w:asciiTheme="majorHAnsi" w:hAnsiTheme="majorHAnsi" w:cstheme="majorHAnsi"/>
          <w:b/>
          <w:sz w:val="20"/>
          <w:szCs w:val="20"/>
        </w:rPr>
      </w:pPr>
      <w:r>
        <w:rPr>
          <w:rFonts w:eastAsia="Times New Roman" w:asciiTheme="majorHAnsi" w:hAnsiTheme="majorHAnsi" w:cstheme="majorHAnsi"/>
          <w:b/>
          <w:sz w:val="20"/>
          <w:szCs w:val="20"/>
        </w:rPr>
        <w:t>ANEXO B</w:t>
      </w:r>
    </w:p>
    <w:p w14:paraId="1CED5EC3">
      <w:pPr>
        <w:shd w:val="clear" w:color="auto" w:fill="8EAADB" w:themeFill="accent1" w:themeFillTint="99"/>
        <w:spacing w:before="120" w:after="0" w:line="240" w:lineRule="auto"/>
        <w:jc w:val="center"/>
        <w:rPr>
          <w:rFonts w:eastAsia="Times New Roman" w:asciiTheme="majorHAnsi" w:hAnsiTheme="majorHAnsi" w:cstheme="majorHAnsi"/>
          <w:b/>
          <w:sz w:val="20"/>
          <w:szCs w:val="20"/>
        </w:rPr>
      </w:pPr>
      <w:r>
        <w:rPr>
          <w:rFonts w:eastAsia="Times New Roman" w:asciiTheme="majorHAnsi" w:hAnsiTheme="majorHAnsi" w:cstheme="majorHAnsi"/>
          <w:b/>
          <w:sz w:val="20"/>
          <w:szCs w:val="20"/>
        </w:rPr>
        <w:t>MODELO DE PROPOSTA DE PREÇOS</w:t>
      </w:r>
    </w:p>
    <w:p w14:paraId="4AD96C9D">
      <w:pPr>
        <w:spacing w:before="120" w:after="0" w:line="240" w:lineRule="auto"/>
        <w:jc w:val="center"/>
        <w:rPr>
          <w:rFonts w:eastAsia="Times New Roman" w:asciiTheme="majorHAnsi" w:hAnsiTheme="majorHAnsi" w:cstheme="majorHAnsi"/>
          <w:sz w:val="20"/>
          <w:szCs w:val="20"/>
        </w:rPr>
      </w:pPr>
      <w:r>
        <w:rPr>
          <w:rFonts w:eastAsia="Times New Roman" w:asciiTheme="majorHAnsi" w:hAnsiTheme="majorHAnsi" w:cstheme="majorHAnsi"/>
          <w:sz w:val="20"/>
          <w:szCs w:val="20"/>
        </w:rPr>
        <w:t>(em papel timbrado do licitante)</w:t>
      </w:r>
    </w:p>
    <w:p w14:paraId="51CDBE1B">
      <w:pPr>
        <w:spacing w:before="120" w:after="0" w:line="240" w:lineRule="auto"/>
        <w:jc w:val="center"/>
        <w:rPr>
          <w:rFonts w:eastAsia="Times New Roman" w:asciiTheme="majorHAnsi" w:hAnsiTheme="majorHAnsi" w:cstheme="majorHAnsi"/>
          <w:sz w:val="20"/>
          <w:szCs w:val="20"/>
        </w:rPr>
      </w:pPr>
    </w:p>
    <w:tbl>
      <w:tblPr>
        <w:tblStyle w:val="131"/>
        <w:tblW w:w="9925" w:type="dxa"/>
        <w:tblInd w:w="5" w:type="dxa"/>
        <w:tblLayout w:type="fixed"/>
        <w:tblCellMar>
          <w:top w:w="0" w:type="dxa"/>
          <w:left w:w="70" w:type="dxa"/>
          <w:bottom w:w="0" w:type="dxa"/>
          <w:right w:w="70" w:type="dxa"/>
        </w:tblCellMar>
      </w:tblPr>
      <w:tblGrid>
        <w:gridCol w:w="551"/>
        <w:gridCol w:w="602"/>
        <w:gridCol w:w="823"/>
        <w:gridCol w:w="779"/>
        <w:gridCol w:w="1701"/>
        <w:gridCol w:w="567"/>
        <w:gridCol w:w="566"/>
        <w:gridCol w:w="1134"/>
        <w:gridCol w:w="851"/>
        <w:gridCol w:w="993"/>
        <w:gridCol w:w="1358"/>
      </w:tblGrid>
      <w:tr w14:paraId="1921A3E6">
        <w:tblPrEx>
          <w:tblCellMar>
            <w:top w:w="0" w:type="dxa"/>
            <w:left w:w="70" w:type="dxa"/>
            <w:bottom w:w="0" w:type="dxa"/>
            <w:right w:w="70" w:type="dxa"/>
          </w:tblCellMar>
        </w:tblPrEx>
        <w:trPr>
          <w:trHeight w:val="1760" w:hRule="atLeast"/>
        </w:trPr>
        <w:tc>
          <w:tcPr>
            <w:tcW w:w="551"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3809262F">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Item</w:t>
            </w:r>
          </w:p>
        </w:tc>
        <w:tc>
          <w:tcPr>
            <w:tcW w:w="602" w:type="dxa"/>
            <w:tcBorders>
              <w:top w:val="single" w:color="000000" w:sz="4" w:space="0"/>
              <w:bottom w:val="single" w:color="000000" w:sz="4" w:space="0"/>
              <w:right w:val="single" w:color="000000" w:sz="4" w:space="0"/>
            </w:tcBorders>
            <w:shd w:val="clear" w:color="auto" w:fill="8EAADB" w:themeFill="accent1" w:themeFillTint="99"/>
            <w:vAlign w:val="center"/>
          </w:tcPr>
          <w:p w14:paraId="2762CFEC">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Cód. Efisco</w:t>
            </w:r>
          </w:p>
        </w:tc>
        <w:tc>
          <w:tcPr>
            <w:tcW w:w="823" w:type="dxa"/>
            <w:tcBorders>
              <w:top w:val="single" w:color="000000" w:sz="4" w:space="0"/>
              <w:bottom w:val="single" w:color="000000" w:sz="4" w:space="0"/>
              <w:right w:val="single" w:color="000000" w:sz="4" w:space="0"/>
            </w:tcBorders>
            <w:shd w:val="clear" w:color="auto" w:fill="8EAADB" w:themeFill="accent1" w:themeFillTint="99"/>
            <w:vAlign w:val="center"/>
          </w:tcPr>
          <w:p w14:paraId="4D6AEEE9">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Descrição do Item</w:t>
            </w:r>
          </w:p>
        </w:tc>
        <w:tc>
          <w:tcPr>
            <w:tcW w:w="779" w:type="dxa"/>
            <w:tcBorders>
              <w:top w:val="single" w:color="000000" w:sz="4" w:space="0"/>
              <w:bottom w:val="single" w:color="000000" w:sz="4" w:space="0"/>
              <w:right w:val="single" w:color="000000" w:sz="4" w:space="0"/>
            </w:tcBorders>
            <w:shd w:val="clear" w:color="auto" w:fill="8EAADB" w:themeFill="accent1" w:themeFillTint="99"/>
          </w:tcPr>
          <w:p w14:paraId="4DE500D4">
            <w:pPr>
              <w:widowControl w:val="0"/>
              <w:autoSpaceDE w:val="0"/>
              <w:autoSpaceDN w:val="0"/>
              <w:spacing w:after="0" w:line="240" w:lineRule="auto"/>
              <w:rPr>
                <w:rFonts w:eastAsia="Times New Roman" w:asciiTheme="majorHAnsi" w:hAnsiTheme="majorHAnsi" w:cstheme="majorHAnsi"/>
                <w:b/>
                <w:sz w:val="20"/>
                <w:szCs w:val="20"/>
                <w:lang w:val="en-US"/>
              </w:rPr>
            </w:pPr>
          </w:p>
          <w:p w14:paraId="1115E9FF">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Registro</w:t>
            </w:r>
          </w:p>
          <w:p w14:paraId="3B0F1968">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 xml:space="preserve"> na ANVISA</w:t>
            </w:r>
          </w:p>
        </w:tc>
        <w:tc>
          <w:tcPr>
            <w:tcW w:w="1701"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73FC1056">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Marca</w:t>
            </w:r>
            <w:r>
              <w:rPr>
                <w:rFonts w:eastAsia="Times New Roman" w:asciiTheme="majorHAnsi" w:hAnsiTheme="majorHAnsi" w:cstheme="majorHAnsi"/>
                <w:b/>
                <w:sz w:val="20"/>
                <w:szCs w:val="20"/>
                <w:lang w:val="en-US"/>
              </w:rPr>
              <w:br w:type="textWrapping"/>
            </w:r>
            <w:r>
              <w:rPr>
                <w:rFonts w:eastAsia="Times New Roman" w:asciiTheme="majorHAnsi" w:hAnsiTheme="majorHAnsi" w:cstheme="majorHAnsi"/>
                <w:b/>
                <w:sz w:val="20"/>
                <w:szCs w:val="20"/>
                <w:lang w:val="en-US"/>
              </w:rPr>
              <w:t>(medicamentos de referência e similar), fabricante e procedência do medicamento oferecido.</w:t>
            </w:r>
          </w:p>
        </w:tc>
        <w:tc>
          <w:tcPr>
            <w:tcW w:w="567"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741641AA">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Unid</w:t>
            </w:r>
          </w:p>
        </w:tc>
        <w:tc>
          <w:tcPr>
            <w:tcW w:w="566" w:type="dxa"/>
            <w:tcBorders>
              <w:top w:val="single" w:color="000000" w:sz="4" w:space="0"/>
              <w:bottom w:val="single" w:color="000000" w:sz="4" w:space="0"/>
              <w:right w:val="single" w:color="000000" w:sz="4" w:space="0"/>
            </w:tcBorders>
            <w:shd w:val="clear" w:color="auto" w:fill="8EAADB" w:themeFill="accent1" w:themeFillTint="99"/>
            <w:vAlign w:val="center"/>
          </w:tcPr>
          <w:p w14:paraId="3A278050">
            <w:pPr>
              <w:widowControl w:val="0"/>
              <w:autoSpaceDE w:val="0"/>
              <w:autoSpaceDN w:val="0"/>
              <w:spacing w:after="0" w:line="240" w:lineRule="auto"/>
              <w:rPr>
                <w:rFonts w:eastAsia="Times New Roman" w:asciiTheme="majorHAnsi" w:hAnsiTheme="majorHAnsi" w:cstheme="majorHAnsi"/>
                <w:b/>
                <w:sz w:val="20"/>
                <w:szCs w:val="20"/>
                <w:lang w:val="en-US"/>
              </w:rPr>
            </w:pPr>
          </w:p>
          <w:p w14:paraId="0C9BE0F6">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Qtde</w:t>
            </w:r>
          </w:p>
          <w:p w14:paraId="5A347713">
            <w:pPr>
              <w:widowControl w:val="0"/>
              <w:autoSpaceDE w:val="0"/>
              <w:autoSpaceDN w:val="0"/>
              <w:spacing w:after="0" w:line="240" w:lineRule="auto"/>
              <w:rPr>
                <w:rFonts w:eastAsia="Times New Roman" w:asciiTheme="majorHAnsi" w:hAnsiTheme="majorHAnsi" w:cstheme="majorHAnsi"/>
                <w:b/>
                <w:sz w:val="20"/>
                <w:szCs w:val="20"/>
                <w:lang w:val="en-US"/>
              </w:rPr>
            </w:pPr>
          </w:p>
        </w:tc>
        <w:tc>
          <w:tcPr>
            <w:tcW w:w="1134" w:type="dxa"/>
            <w:tcBorders>
              <w:top w:val="single" w:color="000000" w:sz="4" w:space="0"/>
              <w:bottom w:val="single" w:color="000000" w:sz="4" w:space="0"/>
              <w:right w:val="single" w:color="000000" w:sz="4" w:space="0"/>
            </w:tcBorders>
            <w:shd w:val="clear" w:color="auto" w:fill="8EAADB" w:themeFill="accent1" w:themeFillTint="99"/>
            <w:vAlign w:val="center"/>
          </w:tcPr>
          <w:p w14:paraId="20FA2D8A">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Preço Unitário Onerado (com incidência de ICMS)</w:t>
            </w:r>
          </w:p>
        </w:tc>
        <w:tc>
          <w:tcPr>
            <w:tcW w:w="851" w:type="dxa"/>
            <w:tcBorders>
              <w:top w:val="single" w:color="000000" w:sz="4" w:space="0"/>
              <w:bottom w:val="single" w:color="000000" w:sz="4" w:space="0"/>
              <w:right w:val="single" w:color="000000" w:sz="4" w:space="0"/>
            </w:tcBorders>
            <w:shd w:val="clear" w:color="auto" w:fill="8EAADB" w:themeFill="accent1" w:themeFillTint="99"/>
            <w:vAlign w:val="center"/>
          </w:tcPr>
          <w:p w14:paraId="50565784">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Preço Unitário Desonerado (isento ICMS)</w:t>
            </w:r>
            <w:r>
              <w:rPr>
                <w:rFonts w:eastAsia="Times New Roman" w:asciiTheme="majorHAnsi" w:hAnsiTheme="majorHAnsi" w:cstheme="majorHAnsi"/>
                <w:b/>
                <w:sz w:val="20"/>
                <w:szCs w:val="20"/>
                <w:vertAlign w:val="superscript"/>
                <w:lang w:val="en-US"/>
              </w:rPr>
              <w:footnoteReference w:id="0"/>
            </w:r>
          </w:p>
        </w:tc>
        <w:tc>
          <w:tcPr>
            <w:tcW w:w="993" w:type="dxa"/>
            <w:tcBorders>
              <w:top w:val="single" w:color="000000" w:sz="4" w:space="0"/>
              <w:bottom w:val="single" w:color="000000" w:sz="4" w:space="0"/>
              <w:right w:val="single" w:color="000000" w:sz="4" w:space="0"/>
            </w:tcBorders>
            <w:shd w:val="clear" w:color="auto" w:fill="8EAADB" w:themeFill="accent1" w:themeFillTint="99"/>
            <w:vAlign w:val="center"/>
          </w:tcPr>
          <w:p w14:paraId="700EAC84">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Preço Unitário na Tabela CMED</w:t>
            </w:r>
          </w:p>
        </w:tc>
        <w:tc>
          <w:tcPr>
            <w:tcW w:w="1358" w:type="dxa"/>
            <w:tcBorders>
              <w:top w:val="single" w:color="000000" w:sz="4" w:space="0"/>
              <w:bottom w:val="single" w:color="000000" w:sz="4" w:space="0"/>
              <w:right w:val="single" w:color="000000" w:sz="4" w:space="0"/>
            </w:tcBorders>
            <w:shd w:val="clear" w:color="auto" w:fill="8EAADB" w:themeFill="accent1" w:themeFillTint="99"/>
            <w:vAlign w:val="center"/>
          </w:tcPr>
          <w:p w14:paraId="0C2BAEF6">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Preço Total</w:t>
            </w:r>
            <w:r>
              <w:rPr>
                <w:rFonts w:eastAsia="Times New Roman" w:asciiTheme="majorHAnsi" w:hAnsiTheme="majorHAnsi" w:cstheme="majorHAnsi"/>
                <w:b/>
                <w:sz w:val="20"/>
                <w:szCs w:val="20"/>
                <w:vertAlign w:val="superscript"/>
                <w:lang w:val="en-US"/>
              </w:rPr>
              <w:footnoteReference w:id="1"/>
            </w:r>
          </w:p>
        </w:tc>
      </w:tr>
      <w:tr w14:paraId="1EE6FFAB">
        <w:tblPrEx>
          <w:tblCellMar>
            <w:top w:w="0" w:type="dxa"/>
            <w:left w:w="70" w:type="dxa"/>
            <w:bottom w:w="0" w:type="dxa"/>
            <w:right w:w="70" w:type="dxa"/>
          </w:tblCellMar>
        </w:tblPrEx>
        <w:trPr>
          <w:trHeight w:val="156" w:hRule="atLeast"/>
        </w:trPr>
        <w:tc>
          <w:tcPr>
            <w:tcW w:w="551" w:type="dxa"/>
            <w:tcBorders>
              <w:left w:val="single" w:color="000000" w:sz="4" w:space="0"/>
              <w:bottom w:val="single" w:color="000000" w:sz="4" w:space="0"/>
              <w:right w:val="single" w:color="000000" w:sz="4" w:space="0"/>
            </w:tcBorders>
            <w:shd w:val="clear" w:color="auto" w:fill="auto"/>
            <w:vAlign w:val="bottom"/>
          </w:tcPr>
          <w:p w14:paraId="62BE06C9">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 1</w:t>
            </w:r>
          </w:p>
        </w:tc>
        <w:tc>
          <w:tcPr>
            <w:tcW w:w="602" w:type="dxa"/>
            <w:tcBorders>
              <w:bottom w:val="single" w:color="000000" w:sz="4" w:space="0"/>
              <w:right w:val="single" w:color="000000" w:sz="4" w:space="0"/>
            </w:tcBorders>
            <w:shd w:val="clear" w:color="auto" w:fill="auto"/>
            <w:vAlign w:val="bottom"/>
          </w:tcPr>
          <w:p w14:paraId="455D9E7A">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c>
          <w:tcPr>
            <w:tcW w:w="823" w:type="dxa"/>
            <w:tcBorders>
              <w:bottom w:val="single" w:color="000000" w:sz="4" w:space="0"/>
              <w:right w:val="single" w:color="000000" w:sz="4" w:space="0"/>
            </w:tcBorders>
            <w:shd w:val="clear" w:color="auto" w:fill="auto"/>
            <w:vAlign w:val="bottom"/>
          </w:tcPr>
          <w:p w14:paraId="5CD97348">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c>
          <w:tcPr>
            <w:tcW w:w="779" w:type="dxa"/>
            <w:tcBorders>
              <w:bottom w:val="single" w:color="000000" w:sz="4" w:space="0"/>
              <w:right w:val="single" w:color="000000" w:sz="4" w:space="0"/>
            </w:tcBorders>
            <w:shd w:val="clear" w:color="auto" w:fill="auto"/>
          </w:tcPr>
          <w:p w14:paraId="1A61BE09">
            <w:pPr>
              <w:widowControl w:val="0"/>
              <w:autoSpaceDE w:val="0"/>
              <w:autoSpaceDN w:val="0"/>
              <w:spacing w:after="0" w:line="240" w:lineRule="auto"/>
              <w:rPr>
                <w:rFonts w:eastAsia="Times New Roman" w:asciiTheme="majorHAnsi" w:hAnsiTheme="majorHAnsi" w:cstheme="majorHAnsi"/>
                <w:sz w:val="20"/>
                <w:szCs w:val="20"/>
                <w:lang w:val="en-US"/>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5E4F41E">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c>
          <w:tcPr>
            <w:tcW w:w="567" w:type="dxa"/>
            <w:tcBorders>
              <w:left w:val="single" w:color="000000" w:sz="4" w:space="0"/>
              <w:bottom w:val="single" w:color="000000" w:sz="4" w:space="0"/>
              <w:right w:val="single" w:color="000000" w:sz="4" w:space="0"/>
            </w:tcBorders>
            <w:shd w:val="clear" w:color="auto" w:fill="auto"/>
            <w:vAlign w:val="bottom"/>
          </w:tcPr>
          <w:p w14:paraId="0E0B939F">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c>
          <w:tcPr>
            <w:tcW w:w="566" w:type="dxa"/>
            <w:tcBorders>
              <w:bottom w:val="single" w:color="000000" w:sz="4" w:space="0"/>
              <w:right w:val="single" w:color="000000" w:sz="4" w:space="0"/>
            </w:tcBorders>
            <w:shd w:val="clear" w:color="auto" w:fill="auto"/>
            <w:vAlign w:val="bottom"/>
          </w:tcPr>
          <w:p w14:paraId="1A046D04">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c>
          <w:tcPr>
            <w:tcW w:w="1134" w:type="dxa"/>
            <w:tcBorders>
              <w:bottom w:val="single" w:color="000000" w:sz="4" w:space="0"/>
              <w:right w:val="single" w:color="000000" w:sz="4" w:space="0"/>
            </w:tcBorders>
            <w:shd w:val="clear" w:color="auto" w:fill="auto"/>
            <w:vAlign w:val="bottom"/>
          </w:tcPr>
          <w:p w14:paraId="64DC8E29">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c>
          <w:tcPr>
            <w:tcW w:w="851" w:type="dxa"/>
            <w:tcBorders>
              <w:bottom w:val="single" w:color="000000" w:sz="4" w:space="0"/>
              <w:right w:val="single" w:color="000000" w:sz="4" w:space="0"/>
            </w:tcBorders>
            <w:shd w:val="clear" w:color="auto" w:fill="auto"/>
            <w:vAlign w:val="bottom"/>
          </w:tcPr>
          <w:p w14:paraId="6E1CCA5D">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c>
          <w:tcPr>
            <w:tcW w:w="993" w:type="dxa"/>
            <w:tcBorders>
              <w:bottom w:val="single" w:color="000000" w:sz="4" w:space="0"/>
              <w:right w:val="single" w:color="000000" w:sz="4" w:space="0"/>
            </w:tcBorders>
            <w:shd w:val="clear" w:color="auto" w:fill="auto"/>
            <w:vAlign w:val="bottom"/>
          </w:tcPr>
          <w:p w14:paraId="10AF01D3">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c>
          <w:tcPr>
            <w:tcW w:w="1358" w:type="dxa"/>
            <w:tcBorders>
              <w:bottom w:val="single" w:color="000000" w:sz="4" w:space="0"/>
              <w:right w:val="single" w:color="000000" w:sz="4" w:space="0"/>
            </w:tcBorders>
            <w:shd w:val="clear" w:color="auto" w:fill="auto"/>
            <w:vAlign w:val="bottom"/>
          </w:tcPr>
          <w:p w14:paraId="752858E9">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w:t>
            </w:r>
          </w:p>
        </w:tc>
      </w:tr>
      <w:tr w14:paraId="598DF8EE">
        <w:tblPrEx>
          <w:tblCellMar>
            <w:top w:w="0" w:type="dxa"/>
            <w:left w:w="70" w:type="dxa"/>
            <w:bottom w:w="0" w:type="dxa"/>
            <w:right w:w="70" w:type="dxa"/>
          </w:tblCellMar>
        </w:tblPrEx>
        <w:trPr>
          <w:trHeight w:val="469" w:hRule="atLeast"/>
        </w:trPr>
        <w:tc>
          <w:tcPr>
            <w:tcW w:w="551" w:type="dxa"/>
            <w:tcBorders>
              <w:left w:val="single" w:color="000000" w:sz="4" w:space="0"/>
              <w:bottom w:val="single" w:color="000000" w:sz="4" w:space="0"/>
              <w:right w:val="single" w:color="000000" w:sz="4" w:space="0"/>
            </w:tcBorders>
            <w:shd w:val="clear" w:color="auto" w:fill="auto"/>
            <w:vAlign w:val="bottom"/>
          </w:tcPr>
          <w:p w14:paraId="02B61D16">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2</w:t>
            </w:r>
          </w:p>
        </w:tc>
        <w:tc>
          <w:tcPr>
            <w:tcW w:w="602" w:type="dxa"/>
            <w:tcBorders>
              <w:bottom w:val="single" w:color="000000" w:sz="4" w:space="0"/>
              <w:right w:val="single" w:color="000000" w:sz="4" w:space="0"/>
            </w:tcBorders>
            <w:shd w:val="clear" w:color="auto" w:fill="auto"/>
            <w:vAlign w:val="bottom"/>
          </w:tcPr>
          <w:p w14:paraId="355967F5">
            <w:pPr>
              <w:widowControl w:val="0"/>
              <w:autoSpaceDE w:val="0"/>
              <w:autoSpaceDN w:val="0"/>
              <w:spacing w:after="0" w:line="240" w:lineRule="auto"/>
              <w:rPr>
                <w:rFonts w:eastAsia="Times New Roman" w:asciiTheme="majorHAnsi" w:hAnsiTheme="majorHAnsi" w:cstheme="majorHAnsi"/>
                <w:sz w:val="20"/>
                <w:szCs w:val="20"/>
                <w:lang w:val="en-US"/>
              </w:rPr>
            </w:pPr>
          </w:p>
        </w:tc>
        <w:tc>
          <w:tcPr>
            <w:tcW w:w="823" w:type="dxa"/>
            <w:tcBorders>
              <w:bottom w:val="single" w:color="000000" w:sz="4" w:space="0"/>
              <w:right w:val="single" w:color="000000" w:sz="4" w:space="0"/>
            </w:tcBorders>
            <w:shd w:val="clear" w:color="auto" w:fill="auto"/>
            <w:vAlign w:val="bottom"/>
          </w:tcPr>
          <w:p w14:paraId="260C0DA0">
            <w:pPr>
              <w:widowControl w:val="0"/>
              <w:autoSpaceDE w:val="0"/>
              <w:autoSpaceDN w:val="0"/>
              <w:spacing w:after="0" w:line="240" w:lineRule="auto"/>
              <w:rPr>
                <w:rFonts w:eastAsia="Times New Roman" w:asciiTheme="majorHAnsi" w:hAnsiTheme="majorHAnsi" w:cstheme="majorHAnsi"/>
                <w:sz w:val="20"/>
                <w:szCs w:val="20"/>
                <w:lang w:val="en-US"/>
              </w:rPr>
            </w:pPr>
          </w:p>
        </w:tc>
        <w:tc>
          <w:tcPr>
            <w:tcW w:w="779" w:type="dxa"/>
            <w:tcBorders>
              <w:bottom w:val="single" w:color="000000" w:sz="4" w:space="0"/>
              <w:right w:val="single" w:color="000000" w:sz="4" w:space="0"/>
            </w:tcBorders>
            <w:shd w:val="clear" w:color="auto" w:fill="auto"/>
          </w:tcPr>
          <w:p w14:paraId="003B5263">
            <w:pPr>
              <w:widowControl w:val="0"/>
              <w:autoSpaceDE w:val="0"/>
              <w:autoSpaceDN w:val="0"/>
              <w:spacing w:after="0" w:line="240" w:lineRule="auto"/>
              <w:rPr>
                <w:rFonts w:eastAsia="Times New Roman" w:asciiTheme="majorHAnsi" w:hAnsiTheme="majorHAnsi" w:cstheme="majorHAnsi"/>
                <w:sz w:val="20"/>
                <w:szCs w:val="20"/>
                <w:lang w:val="en-US"/>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F1B1201">
            <w:pPr>
              <w:widowControl w:val="0"/>
              <w:autoSpaceDE w:val="0"/>
              <w:autoSpaceDN w:val="0"/>
              <w:spacing w:after="0" w:line="240" w:lineRule="auto"/>
              <w:rPr>
                <w:rFonts w:eastAsia="Times New Roman" w:asciiTheme="majorHAnsi" w:hAnsiTheme="majorHAnsi" w:cstheme="majorHAnsi"/>
                <w:sz w:val="20"/>
                <w:szCs w:val="20"/>
                <w:lang w:val="en-US"/>
              </w:rPr>
            </w:pPr>
          </w:p>
        </w:tc>
        <w:tc>
          <w:tcPr>
            <w:tcW w:w="567" w:type="dxa"/>
            <w:tcBorders>
              <w:left w:val="single" w:color="000000" w:sz="4" w:space="0"/>
              <w:bottom w:val="single" w:color="000000" w:sz="4" w:space="0"/>
              <w:right w:val="single" w:color="000000" w:sz="4" w:space="0"/>
            </w:tcBorders>
            <w:shd w:val="clear" w:color="auto" w:fill="auto"/>
            <w:vAlign w:val="bottom"/>
          </w:tcPr>
          <w:p w14:paraId="75EDD12C">
            <w:pPr>
              <w:widowControl w:val="0"/>
              <w:autoSpaceDE w:val="0"/>
              <w:autoSpaceDN w:val="0"/>
              <w:spacing w:after="0" w:line="240" w:lineRule="auto"/>
              <w:rPr>
                <w:rFonts w:eastAsia="Times New Roman" w:asciiTheme="majorHAnsi" w:hAnsiTheme="majorHAnsi" w:cstheme="majorHAnsi"/>
                <w:sz w:val="20"/>
                <w:szCs w:val="20"/>
                <w:lang w:val="en-US"/>
              </w:rPr>
            </w:pPr>
          </w:p>
        </w:tc>
        <w:tc>
          <w:tcPr>
            <w:tcW w:w="566" w:type="dxa"/>
            <w:tcBorders>
              <w:bottom w:val="single" w:color="000000" w:sz="4" w:space="0"/>
              <w:right w:val="single" w:color="000000" w:sz="4" w:space="0"/>
            </w:tcBorders>
            <w:shd w:val="clear" w:color="auto" w:fill="auto"/>
            <w:vAlign w:val="bottom"/>
          </w:tcPr>
          <w:p w14:paraId="524C1615">
            <w:pPr>
              <w:widowControl w:val="0"/>
              <w:autoSpaceDE w:val="0"/>
              <w:autoSpaceDN w:val="0"/>
              <w:spacing w:after="0" w:line="240" w:lineRule="auto"/>
              <w:rPr>
                <w:rFonts w:eastAsia="Times New Roman" w:asciiTheme="majorHAnsi" w:hAnsiTheme="majorHAnsi" w:cstheme="majorHAnsi"/>
                <w:sz w:val="20"/>
                <w:szCs w:val="20"/>
                <w:lang w:val="en-US"/>
              </w:rPr>
            </w:pPr>
          </w:p>
        </w:tc>
        <w:tc>
          <w:tcPr>
            <w:tcW w:w="1134" w:type="dxa"/>
            <w:tcBorders>
              <w:bottom w:val="single" w:color="000000" w:sz="4" w:space="0"/>
              <w:right w:val="single" w:color="000000" w:sz="4" w:space="0"/>
            </w:tcBorders>
            <w:shd w:val="clear" w:color="auto" w:fill="auto"/>
            <w:vAlign w:val="bottom"/>
          </w:tcPr>
          <w:p w14:paraId="5C34AB8A">
            <w:pPr>
              <w:widowControl w:val="0"/>
              <w:autoSpaceDE w:val="0"/>
              <w:autoSpaceDN w:val="0"/>
              <w:spacing w:after="0" w:line="240" w:lineRule="auto"/>
              <w:rPr>
                <w:rFonts w:eastAsia="Times New Roman" w:asciiTheme="majorHAnsi" w:hAnsiTheme="majorHAnsi" w:cstheme="majorHAnsi"/>
                <w:sz w:val="20"/>
                <w:szCs w:val="20"/>
                <w:lang w:val="en-US"/>
              </w:rPr>
            </w:pPr>
          </w:p>
        </w:tc>
        <w:tc>
          <w:tcPr>
            <w:tcW w:w="851" w:type="dxa"/>
            <w:tcBorders>
              <w:bottom w:val="single" w:color="000000" w:sz="4" w:space="0"/>
              <w:right w:val="single" w:color="000000" w:sz="4" w:space="0"/>
            </w:tcBorders>
            <w:shd w:val="clear" w:color="auto" w:fill="auto"/>
            <w:vAlign w:val="bottom"/>
          </w:tcPr>
          <w:p w14:paraId="6B44E61D">
            <w:pPr>
              <w:widowControl w:val="0"/>
              <w:autoSpaceDE w:val="0"/>
              <w:autoSpaceDN w:val="0"/>
              <w:spacing w:after="0" w:line="240" w:lineRule="auto"/>
              <w:rPr>
                <w:rFonts w:eastAsia="Times New Roman" w:asciiTheme="majorHAnsi" w:hAnsiTheme="majorHAnsi" w:cstheme="majorHAnsi"/>
                <w:sz w:val="20"/>
                <w:szCs w:val="20"/>
                <w:lang w:val="en-US"/>
              </w:rPr>
            </w:pPr>
          </w:p>
        </w:tc>
        <w:tc>
          <w:tcPr>
            <w:tcW w:w="993" w:type="dxa"/>
            <w:tcBorders>
              <w:bottom w:val="single" w:color="000000" w:sz="4" w:space="0"/>
              <w:right w:val="single" w:color="000000" w:sz="4" w:space="0"/>
            </w:tcBorders>
            <w:shd w:val="clear" w:color="auto" w:fill="auto"/>
            <w:vAlign w:val="bottom"/>
          </w:tcPr>
          <w:p w14:paraId="480BF783">
            <w:pPr>
              <w:widowControl w:val="0"/>
              <w:autoSpaceDE w:val="0"/>
              <w:autoSpaceDN w:val="0"/>
              <w:spacing w:after="0" w:line="240" w:lineRule="auto"/>
              <w:rPr>
                <w:rFonts w:eastAsia="Times New Roman" w:asciiTheme="majorHAnsi" w:hAnsiTheme="majorHAnsi" w:cstheme="majorHAnsi"/>
                <w:sz w:val="20"/>
                <w:szCs w:val="20"/>
                <w:lang w:val="en-US"/>
              </w:rPr>
            </w:pPr>
          </w:p>
        </w:tc>
        <w:tc>
          <w:tcPr>
            <w:tcW w:w="1358" w:type="dxa"/>
            <w:tcBorders>
              <w:bottom w:val="single" w:color="000000" w:sz="4" w:space="0"/>
              <w:right w:val="single" w:color="000000" w:sz="4" w:space="0"/>
            </w:tcBorders>
            <w:shd w:val="clear" w:color="auto" w:fill="auto"/>
            <w:vAlign w:val="bottom"/>
          </w:tcPr>
          <w:p w14:paraId="1FBABEDE">
            <w:pPr>
              <w:widowControl w:val="0"/>
              <w:autoSpaceDE w:val="0"/>
              <w:autoSpaceDN w:val="0"/>
              <w:spacing w:after="0" w:line="240" w:lineRule="auto"/>
              <w:rPr>
                <w:rFonts w:eastAsia="Times New Roman" w:asciiTheme="majorHAnsi" w:hAnsiTheme="majorHAnsi" w:cstheme="majorHAnsi"/>
                <w:sz w:val="20"/>
                <w:szCs w:val="20"/>
                <w:lang w:val="en-US"/>
              </w:rPr>
            </w:pPr>
          </w:p>
        </w:tc>
      </w:tr>
      <w:tr w14:paraId="55B3B943">
        <w:tblPrEx>
          <w:tblCellMar>
            <w:top w:w="0" w:type="dxa"/>
            <w:left w:w="70" w:type="dxa"/>
            <w:bottom w:w="0" w:type="dxa"/>
            <w:right w:w="70" w:type="dxa"/>
          </w:tblCellMar>
        </w:tblPrEx>
        <w:trPr>
          <w:trHeight w:val="404" w:hRule="atLeast"/>
        </w:trPr>
        <w:tc>
          <w:tcPr>
            <w:tcW w:w="6723" w:type="dxa"/>
            <w:gridSpan w:val="8"/>
            <w:tcBorders>
              <w:top w:val="single" w:color="000000" w:sz="4" w:space="0"/>
              <w:left w:val="single" w:color="000000" w:sz="4" w:space="0"/>
              <w:bottom w:val="single" w:color="000000" w:sz="4" w:space="0"/>
              <w:right w:val="single" w:color="000000" w:sz="4" w:space="0"/>
            </w:tcBorders>
            <w:shd w:val="clear" w:color="auto" w:fill="auto"/>
          </w:tcPr>
          <w:p w14:paraId="3B8A4604">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Valor Total do Item</w:t>
            </w:r>
          </w:p>
        </w:tc>
        <w:tc>
          <w:tcPr>
            <w:tcW w:w="3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05BBF4">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R$</w:t>
            </w:r>
          </w:p>
        </w:tc>
      </w:tr>
    </w:tbl>
    <w:p w14:paraId="63F0B456">
      <w:pPr>
        <w:spacing w:after="0" w:line="240" w:lineRule="auto"/>
        <w:rPr>
          <w:rFonts w:eastAsia="Times New Roman" w:asciiTheme="majorHAnsi" w:hAnsiTheme="majorHAnsi" w:cstheme="majorHAnsi"/>
          <w:color w:val="0070C0"/>
          <w:sz w:val="20"/>
          <w:szCs w:val="20"/>
        </w:rPr>
      </w:pPr>
    </w:p>
    <w:p w14:paraId="3F62F4D3">
      <w:pPr>
        <w:pBdr>
          <w:top w:val="none" w:color="auto" w:sz="0" w:space="0"/>
          <w:left w:val="none" w:color="auto" w:sz="0" w:space="0"/>
          <w:bottom w:val="none" w:color="auto" w:sz="0" w:space="0"/>
          <w:right w:val="none" w:color="auto" w:sz="0" w:space="0"/>
          <w:between w:val="none" w:color="auto" w:sz="0" w:space="0"/>
        </w:pBdr>
        <w:tabs>
          <w:tab w:val="left" w:pos="142"/>
          <w:tab w:val="left" w:pos="284"/>
          <w:tab w:val="left" w:pos="567"/>
        </w:tabs>
        <w:spacing w:after="0" w:line="276" w:lineRule="auto"/>
        <w:jc w:val="both"/>
        <w:rPr>
          <w:rFonts w:eastAsia="Times New Roman" w:asciiTheme="majorHAnsi" w:hAnsiTheme="majorHAnsi" w:cstheme="majorHAnsi"/>
          <w:color w:val="000000"/>
          <w:sz w:val="20"/>
          <w:szCs w:val="20"/>
        </w:rPr>
      </w:pPr>
    </w:p>
    <w:p w14:paraId="2EC887F0">
      <w:pPr>
        <w:pBdr>
          <w:top w:val="none" w:color="auto" w:sz="0" w:space="0"/>
          <w:left w:val="none" w:color="auto" w:sz="0" w:space="0"/>
          <w:bottom w:val="none" w:color="auto" w:sz="0" w:space="0"/>
          <w:right w:val="none" w:color="auto" w:sz="0" w:space="0"/>
          <w:between w:val="none" w:color="auto" w:sz="0" w:space="0"/>
        </w:pBdr>
        <w:spacing w:after="0" w:line="240" w:lineRule="auto"/>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Validade da proposta:</w:t>
      </w:r>
      <w:r>
        <w:rPr>
          <w:rFonts w:eastAsia="Times New Roman" w:asciiTheme="majorHAnsi" w:hAnsiTheme="majorHAnsi" w:cstheme="majorHAnsi"/>
          <w:color w:val="000000"/>
          <w:sz w:val="20"/>
          <w:szCs w:val="20"/>
        </w:rPr>
        <w:t xml:space="preserve"> Conforme edital.</w:t>
      </w:r>
    </w:p>
    <w:p w14:paraId="26C7E4DC">
      <w:pPr>
        <w:pBdr>
          <w:top w:val="none" w:color="auto" w:sz="0" w:space="0"/>
          <w:left w:val="none" w:color="auto" w:sz="0" w:space="0"/>
          <w:bottom w:val="none" w:color="auto" w:sz="0" w:space="0"/>
          <w:right w:val="none" w:color="auto" w:sz="0" w:space="0"/>
          <w:between w:val="none" w:color="auto" w:sz="0" w:space="0"/>
        </w:pBdr>
        <w:spacing w:after="0" w:line="240" w:lineRule="auto"/>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Demais condições comerciais:</w:t>
      </w:r>
      <w:r>
        <w:rPr>
          <w:rFonts w:eastAsia="Times New Roman" w:asciiTheme="majorHAnsi" w:hAnsiTheme="majorHAnsi" w:cstheme="majorHAnsi"/>
          <w:color w:val="000000"/>
          <w:sz w:val="20"/>
          <w:szCs w:val="20"/>
        </w:rPr>
        <w:t xml:space="preserve"> Conforme edital.</w:t>
      </w:r>
    </w:p>
    <w:p w14:paraId="33B7246A">
      <w:pPr>
        <w:pBdr>
          <w:top w:val="none" w:color="auto" w:sz="0" w:space="0"/>
          <w:left w:val="none" w:color="auto" w:sz="0" w:space="0"/>
          <w:bottom w:val="none" w:color="auto" w:sz="0" w:space="0"/>
          <w:right w:val="none" w:color="auto" w:sz="0" w:space="0"/>
          <w:between w:val="none" w:color="auto" w:sz="0" w:space="0"/>
        </w:pBdr>
        <w:spacing w:before="100" w:after="142" w:line="240" w:lineRule="auto"/>
        <w:rPr>
          <w:rFonts w:eastAsia="Times New Roman" w:asciiTheme="majorHAnsi" w:hAnsiTheme="majorHAnsi" w:cstheme="majorHAnsi"/>
          <w:color w:val="000000"/>
          <w:sz w:val="20"/>
          <w:szCs w:val="20"/>
        </w:rPr>
      </w:pPr>
      <w:r>
        <w:rPr>
          <w:rFonts w:eastAsia="Times New Roman" w:asciiTheme="majorHAnsi" w:hAnsiTheme="majorHAnsi" w:cstheme="majorHAnsi"/>
          <w:b/>
          <w:color w:val="000000"/>
          <w:sz w:val="20"/>
          <w:szCs w:val="20"/>
        </w:rPr>
        <w:t>Declarações:</w:t>
      </w:r>
    </w:p>
    <w:p w14:paraId="7AED601E">
      <w:pPr>
        <w:pBdr>
          <w:top w:val="none" w:color="auto" w:sz="0" w:space="0"/>
          <w:left w:val="none" w:color="auto" w:sz="0" w:space="0"/>
          <w:bottom w:val="none" w:color="auto" w:sz="0" w:space="0"/>
          <w:right w:val="none" w:color="auto" w:sz="0" w:space="0"/>
          <w:between w:val="none" w:color="auto" w:sz="0" w:space="0"/>
        </w:pBdr>
        <w:spacing w:before="280" w:after="0" w:line="276" w:lineRule="auto"/>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 xml:space="preserve">Declaramos que os preços dos medicamentos constantes nesta proposta são inferiores aos respectivos valores aplicáveis na tabela CMED. </w:t>
      </w:r>
    </w:p>
    <w:p w14:paraId="437B659F">
      <w:pPr>
        <w:pBdr>
          <w:top w:val="none" w:color="auto" w:sz="0" w:space="0"/>
          <w:left w:val="none" w:color="auto" w:sz="0" w:space="0"/>
          <w:bottom w:val="none" w:color="auto" w:sz="0" w:space="0"/>
          <w:right w:val="none" w:color="auto" w:sz="0" w:space="0"/>
          <w:between w:val="none" w:color="auto" w:sz="0" w:space="0"/>
        </w:pBdr>
        <w:spacing w:before="280" w:after="0" w:line="276" w:lineRule="auto"/>
        <w:ind w:hanging="6"/>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Temos ciência de que, da comercialização de medicamentos acima dos valores da tabela CMED, decorrem aplicações de penalidades previstas na Lei nº 10.742/2003 e na Lei nº 8.078/1990, denunciando-se o fato à CMED, ao Ministério Público Federal e ao Ministério Público Estadual para providências cabíveis.</w:t>
      </w:r>
    </w:p>
    <w:p w14:paraId="4601B991">
      <w:pPr>
        <w:pBdr>
          <w:top w:val="none" w:color="auto" w:sz="0" w:space="0"/>
          <w:left w:val="none" w:color="auto" w:sz="0" w:space="0"/>
          <w:bottom w:val="none" w:color="auto" w:sz="0" w:space="0"/>
          <w:right w:val="none" w:color="auto" w:sz="0" w:space="0"/>
          <w:between w:val="none" w:color="auto" w:sz="0" w:space="0"/>
        </w:pBdr>
        <w:spacing w:before="280" w:after="0" w:line="276" w:lineRule="auto"/>
        <w:ind w:hanging="6"/>
        <w:jc w:val="both"/>
        <w:rPr>
          <w:rFonts w:eastAsia="Times New Roman" w:asciiTheme="majorHAnsi" w:hAnsiTheme="majorHAnsi" w:cstheme="majorHAnsi"/>
          <w:color w:val="000000"/>
          <w:sz w:val="20"/>
          <w:szCs w:val="20"/>
        </w:rPr>
      </w:pPr>
      <w:r>
        <w:rPr>
          <w:rFonts w:eastAsia="Times New Roman" w:asciiTheme="majorHAnsi" w:hAnsiTheme="majorHAnsi" w:cstheme="majorHAnsi"/>
          <w:color w:val="000000"/>
          <w:sz w:val="20"/>
          <w:szCs w:val="20"/>
        </w:rPr>
        <w:t>Temos ciência de que, n</w:t>
      </w:r>
      <w:r>
        <w:rPr>
          <w:rFonts w:eastAsia="Times New Roman" w:asciiTheme="majorHAnsi" w:hAnsiTheme="majorHAnsi" w:cstheme="majorHAnsi"/>
          <w:color w:val="000000"/>
          <w:sz w:val="20"/>
          <w:szCs w:val="20"/>
          <w:highlight w:val="white"/>
        </w:rPr>
        <w:t>as aquisições de medicamentos, o medicamento genérico, quando houver, terá preferência sobre os demais em condições de igualdade de preço, nos termos do Art. 3º, § 2º, da Lei nº 9.787/1999.</w:t>
      </w:r>
    </w:p>
    <w:p w14:paraId="1A00F503">
      <w:pPr>
        <w:spacing w:after="0"/>
        <w:jc w:val="center"/>
        <w:rPr>
          <w:rFonts w:eastAsia="Times New Roman" w:asciiTheme="majorHAnsi" w:hAnsiTheme="majorHAnsi" w:cstheme="majorHAnsi"/>
          <w:sz w:val="20"/>
          <w:szCs w:val="20"/>
        </w:rPr>
      </w:pPr>
    </w:p>
    <w:p w14:paraId="5B6CAEFC">
      <w:pPr>
        <w:spacing w:after="0"/>
        <w:jc w:val="center"/>
        <w:rPr>
          <w:rFonts w:eastAsia="Times New Roman" w:asciiTheme="majorHAnsi" w:hAnsiTheme="majorHAnsi" w:cstheme="majorHAnsi"/>
          <w:sz w:val="20"/>
          <w:szCs w:val="20"/>
        </w:rPr>
      </w:pPr>
    </w:p>
    <w:p w14:paraId="3B54891F">
      <w:pPr>
        <w:spacing w:after="0"/>
        <w:jc w:val="center"/>
        <w:rPr>
          <w:rFonts w:eastAsia="Times New Roman" w:asciiTheme="majorHAnsi" w:hAnsiTheme="majorHAnsi" w:cstheme="majorHAnsi"/>
          <w:sz w:val="20"/>
          <w:szCs w:val="20"/>
        </w:rPr>
      </w:pPr>
      <w:r>
        <w:rPr>
          <w:rFonts w:eastAsia="Times New Roman" w:asciiTheme="majorHAnsi" w:hAnsiTheme="majorHAnsi" w:cstheme="majorHAnsi"/>
          <w:sz w:val="20"/>
          <w:szCs w:val="20"/>
        </w:rPr>
        <w:t>Local, data.</w:t>
      </w:r>
    </w:p>
    <w:p w14:paraId="4543A359">
      <w:pPr>
        <w:spacing w:after="0"/>
        <w:jc w:val="center"/>
        <w:rPr>
          <w:rFonts w:eastAsia="Times New Roman" w:asciiTheme="majorHAnsi" w:hAnsiTheme="majorHAnsi" w:cstheme="majorHAnsi"/>
          <w:sz w:val="20"/>
          <w:szCs w:val="20"/>
        </w:rPr>
      </w:pPr>
    </w:p>
    <w:p w14:paraId="3596A8A2">
      <w:pPr>
        <w:spacing w:before="120" w:after="0" w:line="240" w:lineRule="auto"/>
        <w:jc w:val="center"/>
        <w:rPr>
          <w:rFonts w:eastAsia="Times New Roman" w:asciiTheme="majorHAnsi" w:hAnsiTheme="majorHAnsi" w:cstheme="majorHAnsi"/>
          <w:sz w:val="20"/>
          <w:szCs w:val="20"/>
        </w:rPr>
      </w:pPr>
      <w:r>
        <w:rPr>
          <w:rFonts w:eastAsia="Times New Roman" w:asciiTheme="majorHAnsi" w:hAnsiTheme="majorHAnsi" w:cstheme="majorHAnsi"/>
          <w:sz w:val="20"/>
          <w:szCs w:val="20"/>
        </w:rPr>
        <w:t>Nome e assinatura do representante legal.</w:t>
      </w:r>
    </w:p>
    <w:p w14:paraId="7DF34F13">
      <w:pPr>
        <w:spacing w:before="120" w:after="0" w:line="240" w:lineRule="auto"/>
        <w:rPr>
          <w:rFonts w:eastAsia="Times New Roman" w:asciiTheme="majorHAnsi" w:hAnsiTheme="majorHAnsi" w:cstheme="majorHAnsi"/>
          <w:sz w:val="20"/>
          <w:szCs w:val="20"/>
        </w:rPr>
      </w:pPr>
    </w:p>
    <w:p w14:paraId="1E8745E6">
      <w:pPr>
        <w:tabs>
          <w:tab w:val="left" w:pos="426"/>
          <w:tab w:val="left" w:pos="567"/>
        </w:tabs>
        <w:spacing w:before="120" w:after="0" w:line="240" w:lineRule="auto"/>
        <w:jc w:val="both"/>
        <w:rPr>
          <w:rFonts w:eastAsia="Times New Roman" w:asciiTheme="majorHAnsi" w:hAnsiTheme="majorHAnsi" w:cstheme="majorHAnsi"/>
          <w:color w:val="FF0000"/>
          <w:sz w:val="20"/>
          <w:szCs w:val="20"/>
        </w:rPr>
      </w:pPr>
    </w:p>
    <w:p w14:paraId="09A02CB0">
      <w:pPr>
        <w:tabs>
          <w:tab w:val="left" w:pos="426"/>
          <w:tab w:val="left" w:pos="567"/>
        </w:tabs>
        <w:spacing w:before="120" w:after="0" w:line="240" w:lineRule="auto"/>
        <w:jc w:val="both"/>
        <w:rPr>
          <w:rFonts w:eastAsia="Times New Roman" w:asciiTheme="majorHAnsi" w:hAnsiTheme="majorHAnsi" w:cstheme="majorHAnsi"/>
          <w:color w:val="FF0000"/>
          <w:sz w:val="20"/>
          <w:szCs w:val="20"/>
        </w:rPr>
      </w:pPr>
    </w:p>
    <w:p w14:paraId="48827A0E">
      <w:pPr>
        <w:tabs>
          <w:tab w:val="left" w:pos="426"/>
          <w:tab w:val="left" w:pos="567"/>
        </w:tabs>
        <w:spacing w:before="120" w:after="0" w:line="240" w:lineRule="auto"/>
        <w:jc w:val="both"/>
        <w:rPr>
          <w:rFonts w:eastAsia="Times New Roman" w:asciiTheme="majorHAnsi" w:hAnsiTheme="majorHAnsi" w:cstheme="majorHAnsi"/>
          <w:color w:val="FF0000"/>
          <w:sz w:val="20"/>
          <w:szCs w:val="20"/>
        </w:rPr>
      </w:pPr>
    </w:p>
    <w:p w14:paraId="038A1017">
      <w:pPr>
        <w:shd w:val="clear" w:color="auto" w:fill="8EAADB" w:themeFill="accent1" w:themeFillTint="99"/>
        <w:spacing w:before="120" w:after="0" w:line="240" w:lineRule="auto"/>
        <w:jc w:val="center"/>
        <w:rPr>
          <w:rFonts w:eastAsia="Times New Roman" w:asciiTheme="majorHAnsi" w:hAnsiTheme="majorHAnsi" w:cstheme="majorHAnsi"/>
          <w:b/>
          <w:sz w:val="20"/>
          <w:szCs w:val="20"/>
        </w:rPr>
      </w:pPr>
      <w:r>
        <w:rPr>
          <w:rFonts w:eastAsia="Times New Roman" w:asciiTheme="majorHAnsi" w:hAnsiTheme="majorHAnsi" w:cstheme="majorHAnsi"/>
          <w:b/>
          <w:sz w:val="20"/>
          <w:szCs w:val="20"/>
        </w:rPr>
        <w:t>ANEXO C</w:t>
      </w:r>
    </w:p>
    <w:p w14:paraId="58C6A7F2">
      <w:pPr>
        <w:shd w:val="clear" w:color="auto" w:fill="8EAADB" w:themeFill="accent1" w:themeFillTint="99"/>
        <w:spacing w:before="120" w:after="0" w:line="240" w:lineRule="auto"/>
        <w:jc w:val="center"/>
        <w:rPr>
          <w:rFonts w:eastAsia="Times New Roman" w:asciiTheme="majorHAnsi" w:hAnsiTheme="majorHAnsi" w:cstheme="majorHAnsi"/>
          <w:b/>
          <w:sz w:val="20"/>
          <w:szCs w:val="20"/>
        </w:rPr>
      </w:pPr>
      <w:r>
        <w:rPr>
          <w:rFonts w:eastAsia="Times New Roman" w:asciiTheme="majorHAnsi" w:hAnsiTheme="majorHAnsi" w:cstheme="majorHAnsi"/>
          <w:b/>
          <w:sz w:val="20"/>
          <w:szCs w:val="20"/>
        </w:rPr>
        <w:t>TERMO DE CIÊNCIA DO GESTOR E FISCAL DA CONTRATAÇÃO</w:t>
      </w:r>
    </w:p>
    <w:p w14:paraId="6ED74817">
      <w:pPr>
        <w:spacing w:after="0"/>
        <w:rPr>
          <w:rFonts w:eastAsia="Times New Roman" w:asciiTheme="majorHAnsi" w:hAnsiTheme="majorHAnsi" w:cstheme="majorHAnsi"/>
          <w:sz w:val="20"/>
          <w:szCs w:val="20"/>
        </w:rPr>
      </w:pPr>
    </w:p>
    <w:p w14:paraId="60A1D4D5">
      <w:pPr>
        <w:spacing w:after="0"/>
        <w:rPr>
          <w:rFonts w:eastAsia="Times New Roman" w:asciiTheme="majorHAnsi" w:hAnsiTheme="majorHAnsi" w:cstheme="majorHAnsi"/>
          <w:sz w:val="20"/>
          <w:szCs w:val="20"/>
        </w:rPr>
      </w:pPr>
    </w:p>
    <w:p w14:paraId="178E0B14">
      <w:pPr>
        <w:widowControl w:val="0"/>
        <w:spacing w:before="120" w:after="120" w:line="360" w:lineRule="auto"/>
        <w:ind w:right="-1276"/>
        <w:jc w:val="both"/>
        <w:rPr>
          <w:rFonts w:asciiTheme="majorHAnsi" w:hAnsiTheme="majorHAnsi" w:cstheme="majorHAnsi"/>
          <w:sz w:val="20"/>
          <w:szCs w:val="20"/>
        </w:rPr>
      </w:pPr>
      <w:r>
        <w:rPr>
          <w:rFonts w:asciiTheme="majorHAnsi" w:hAnsiTheme="majorHAnsi" w:cstheme="majorHAnsi"/>
          <w:b/>
          <w:color w:val="000000"/>
          <w:sz w:val="20"/>
          <w:szCs w:val="20"/>
        </w:rPr>
        <w:t>ORDEM DE FORNECIMENTO/NOTA DE EMPENHO Nº:</w:t>
      </w:r>
      <w:r>
        <w:rPr>
          <w:rFonts w:asciiTheme="majorHAnsi" w:hAnsiTheme="majorHAnsi" w:cstheme="majorHAnsi"/>
          <w:color w:val="0070C0"/>
          <w:sz w:val="20"/>
          <w:szCs w:val="20"/>
        </w:rPr>
        <w:t>_______/202___</w:t>
      </w:r>
    </w:p>
    <w:p w14:paraId="7CD3290B">
      <w:pPr>
        <w:widowControl w:val="0"/>
        <w:spacing w:before="120" w:after="120" w:line="360" w:lineRule="auto"/>
        <w:ind w:right="-1276"/>
        <w:jc w:val="both"/>
        <w:rPr>
          <w:rFonts w:asciiTheme="majorHAnsi" w:hAnsiTheme="majorHAnsi" w:cstheme="majorHAnsi"/>
          <w:sz w:val="20"/>
          <w:szCs w:val="20"/>
        </w:rPr>
      </w:pPr>
      <w:r>
        <w:rPr>
          <w:rFonts w:asciiTheme="majorHAnsi" w:hAnsiTheme="majorHAnsi" w:cstheme="majorHAnsi"/>
          <w:b/>
          <w:color w:val="000000"/>
          <w:sz w:val="20"/>
          <w:szCs w:val="20"/>
        </w:rPr>
        <w:t>OBJETO:</w:t>
      </w:r>
      <w:r>
        <w:rPr>
          <w:rFonts w:asciiTheme="majorHAnsi" w:hAnsiTheme="majorHAnsi" w:cstheme="majorHAnsi"/>
          <w:color w:val="0070C0"/>
          <w:sz w:val="20"/>
          <w:szCs w:val="20"/>
        </w:rPr>
        <w:t>______________________________________________________________________________</w:t>
      </w:r>
    </w:p>
    <w:p w14:paraId="0D437CE0">
      <w:pPr>
        <w:widowControl w:val="0"/>
        <w:spacing w:before="120" w:after="120" w:line="360" w:lineRule="auto"/>
        <w:ind w:right="-1276"/>
        <w:jc w:val="both"/>
        <w:rPr>
          <w:rFonts w:asciiTheme="majorHAnsi" w:hAnsiTheme="majorHAnsi" w:cstheme="majorHAnsi"/>
          <w:sz w:val="20"/>
          <w:szCs w:val="20"/>
        </w:rPr>
      </w:pPr>
      <w:r>
        <w:rPr>
          <w:rFonts w:asciiTheme="majorHAnsi" w:hAnsiTheme="majorHAnsi" w:cstheme="majorHAnsi"/>
          <w:b/>
          <w:color w:val="000000"/>
          <w:sz w:val="20"/>
          <w:szCs w:val="20"/>
        </w:rPr>
        <w:t>CONTRATADA:</w:t>
      </w:r>
      <w:r>
        <w:rPr>
          <w:rFonts w:asciiTheme="majorHAnsi" w:hAnsiTheme="majorHAnsi" w:cstheme="majorHAnsi"/>
          <w:color w:val="0070C0"/>
          <w:sz w:val="20"/>
          <w:szCs w:val="20"/>
        </w:rPr>
        <w:t xml:space="preserve"> _________________________________________________________________________</w:t>
      </w:r>
    </w:p>
    <w:p w14:paraId="02BDE848">
      <w:pPr>
        <w:widowControl w:val="0"/>
        <w:spacing w:before="120" w:after="120" w:line="360" w:lineRule="auto"/>
        <w:ind w:right="-1276"/>
        <w:jc w:val="both"/>
        <w:rPr>
          <w:rFonts w:asciiTheme="majorHAnsi" w:hAnsiTheme="majorHAnsi" w:cstheme="majorHAnsi"/>
          <w:sz w:val="20"/>
          <w:szCs w:val="20"/>
        </w:rPr>
      </w:pPr>
      <w:r>
        <w:rPr>
          <w:rFonts w:asciiTheme="majorHAnsi" w:hAnsiTheme="majorHAnsi" w:cstheme="majorHAnsi"/>
          <w:b/>
          <w:sz w:val="20"/>
          <w:szCs w:val="20"/>
        </w:rPr>
        <w:t>CNPJ:</w:t>
      </w:r>
      <w:r>
        <w:rPr>
          <w:rFonts w:asciiTheme="majorHAnsi" w:hAnsiTheme="majorHAnsi" w:cstheme="majorHAnsi"/>
          <w:color w:val="0070C0"/>
          <w:sz w:val="20"/>
          <w:szCs w:val="20"/>
        </w:rPr>
        <w:t>_______________________________________</w:t>
      </w:r>
    </w:p>
    <w:p w14:paraId="07B6AE20">
      <w:pPr>
        <w:widowControl w:val="0"/>
        <w:spacing w:before="120" w:after="120" w:line="360" w:lineRule="auto"/>
        <w:ind w:right="-1276"/>
        <w:jc w:val="both"/>
        <w:rPr>
          <w:rFonts w:asciiTheme="majorHAnsi" w:hAnsiTheme="majorHAnsi" w:cstheme="majorHAnsi"/>
          <w:sz w:val="20"/>
          <w:szCs w:val="20"/>
        </w:rPr>
      </w:pPr>
      <w:r>
        <w:rPr>
          <w:rFonts w:asciiTheme="majorHAnsi" w:hAnsiTheme="majorHAnsi" w:cstheme="majorHAnsi"/>
          <w:b/>
          <w:color w:val="0070C0"/>
          <w:sz w:val="20"/>
          <w:szCs w:val="20"/>
        </w:rPr>
        <w:t xml:space="preserve">GESTOR DA CONTRATAÇÃO </w:t>
      </w:r>
      <w:r>
        <w:rPr>
          <w:rFonts w:asciiTheme="majorHAnsi" w:hAnsiTheme="majorHAnsi" w:cstheme="majorHAnsi"/>
          <w:b/>
          <w:color w:val="FF0000"/>
          <w:sz w:val="20"/>
          <w:szCs w:val="20"/>
        </w:rPr>
        <w:t xml:space="preserve">OU </w:t>
      </w:r>
      <w:r>
        <w:rPr>
          <w:rFonts w:asciiTheme="majorHAnsi" w:hAnsiTheme="majorHAnsi" w:cstheme="majorHAnsi"/>
          <w:b/>
          <w:color w:val="0070C0"/>
          <w:sz w:val="20"/>
          <w:szCs w:val="20"/>
        </w:rPr>
        <w:t>FISCAL DA CONTRATAÇÃO</w:t>
      </w:r>
      <w:r>
        <w:rPr>
          <w:rFonts w:asciiTheme="majorHAnsi" w:hAnsiTheme="majorHAnsi" w:cstheme="majorHAnsi"/>
          <w:b/>
          <w:color w:val="000000"/>
          <w:sz w:val="20"/>
          <w:szCs w:val="20"/>
        </w:rPr>
        <w:t xml:space="preserve">: </w:t>
      </w:r>
      <w:r>
        <w:rPr>
          <w:rFonts w:asciiTheme="majorHAnsi" w:hAnsiTheme="majorHAnsi" w:cstheme="majorHAnsi"/>
          <w:color w:val="0070C0"/>
          <w:sz w:val="20"/>
          <w:szCs w:val="20"/>
        </w:rPr>
        <w:t>___________________________________________</w:t>
      </w:r>
    </w:p>
    <w:p w14:paraId="60F27994">
      <w:pPr>
        <w:widowControl w:val="0"/>
        <w:spacing w:before="120" w:after="120" w:line="360" w:lineRule="auto"/>
        <w:ind w:right="-1276"/>
        <w:jc w:val="both"/>
        <w:rPr>
          <w:rFonts w:asciiTheme="majorHAnsi" w:hAnsiTheme="majorHAnsi" w:cstheme="majorHAnsi"/>
          <w:sz w:val="20"/>
          <w:szCs w:val="20"/>
        </w:rPr>
      </w:pPr>
      <w:r>
        <w:rPr>
          <w:rFonts w:asciiTheme="majorHAnsi" w:hAnsiTheme="majorHAnsi" w:cstheme="majorHAnsi"/>
          <w:b/>
          <w:sz w:val="20"/>
          <w:szCs w:val="20"/>
        </w:rPr>
        <w:t>MATRÍCULA:</w:t>
      </w:r>
      <w:r>
        <w:rPr>
          <w:rFonts w:asciiTheme="majorHAnsi" w:hAnsiTheme="majorHAnsi" w:cstheme="majorHAnsi"/>
          <w:color w:val="0070C0"/>
          <w:sz w:val="20"/>
          <w:szCs w:val="20"/>
        </w:rPr>
        <w:t>____________________________________</w:t>
      </w:r>
    </w:p>
    <w:p w14:paraId="6FB80259">
      <w:pPr>
        <w:widowControl w:val="0"/>
        <w:spacing w:before="120" w:after="120" w:line="360" w:lineRule="auto"/>
        <w:ind w:right="424"/>
        <w:jc w:val="both"/>
        <w:rPr>
          <w:rFonts w:asciiTheme="majorHAnsi" w:hAnsiTheme="majorHAnsi" w:cstheme="majorHAnsi"/>
          <w:color w:val="FF0000"/>
          <w:sz w:val="20"/>
          <w:szCs w:val="20"/>
        </w:rPr>
      </w:pPr>
    </w:p>
    <w:p w14:paraId="2F61EA8B">
      <w:pPr>
        <w:widowControl w:val="0"/>
        <w:spacing w:before="120" w:after="120" w:line="360" w:lineRule="auto"/>
        <w:ind w:right="424"/>
        <w:jc w:val="both"/>
        <w:rPr>
          <w:rFonts w:asciiTheme="majorHAnsi" w:hAnsiTheme="majorHAnsi" w:cstheme="majorHAnsi"/>
          <w:color w:val="FF0000"/>
          <w:sz w:val="20"/>
          <w:szCs w:val="20"/>
        </w:rPr>
      </w:pPr>
    </w:p>
    <w:p w14:paraId="7FB2B49F">
      <w:pPr>
        <w:spacing w:before="120" w:after="120" w:line="360" w:lineRule="auto"/>
        <w:ind w:right="424"/>
        <w:jc w:val="both"/>
        <w:rPr>
          <w:rFonts w:asciiTheme="majorHAnsi" w:hAnsiTheme="majorHAnsi" w:cstheme="majorHAnsi"/>
          <w:sz w:val="20"/>
          <w:szCs w:val="20"/>
        </w:rPr>
      </w:pPr>
      <w:r>
        <w:rPr>
          <w:rFonts w:asciiTheme="majorHAnsi" w:hAnsiTheme="majorHAnsi" w:cstheme="majorHAnsi"/>
          <w:sz w:val="20"/>
          <w:szCs w:val="20"/>
        </w:rPr>
        <w:t xml:space="preserve">EU, </w:t>
      </w:r>
      <w:r>
        <w:rPr>
          <w:rFonts w:asciiTheme="majorHAnsi" w:hAnsiTheme="majorHAnsi" w:cstheme="majorHAnsi"/>
          <w:color w:val="0070C0"/>
          <w:sz w:val="20"/>
          <w:szCs w:val="20"/>
        </w:rPr>
        <w:t>__________________________________________</w:t>
      </w:r>
      <w:r>
        <w:rPr>
          <w:rFonts w:asciiTheme="majorHAnsi" w:hAnsiTheme="majorHAnsi" w:cstheme="majorHAnsi"/>
          <w:sz w:val="20"/>
          <w:szCs w:val="20"/>
        </w:rPr>
        <w:t xml:space="preserve">, matrícula </w:t>
      </w:r>
      <w:r>
        <w:rPr>
          <w:rFonts w:asciiTheme="majorHAnsi" w:hAnsiTheme="majorHAnsi" w:cstheme="majorHAnsi"/>
          <w:color w:val="0070C0"/>
          <w:sz w:val="20"/>
          <w:szCs w:val="20"/>
        </w:rPr>
        <w:t>____________</w:t>
      </w:r>
      <w:r>
        <w:rPr>
          <w:rFonts w:asciiTheme="majorHAnsi" w:hAnsiTheme="majorHAnsi" w:cstheme="majorHAnsi"/>
          <w:sz w:val="20"/>
          <w:szCs w:val="20"/>
        </w:rPr>
        <w:t xml:space="preserve">, ocupante do cargo </w:t>
      </w:r>
      <w:r>
        <w:rPr>
          <w:rFonts w:asciiTheme="majorHAnsi" w:hAnsiTheme="majorHAnsi" w:cstheme="majorHAnsi"/>
          <w:color w:val="0070C0"/>
          <w:sz w:val="20"/>
          <w:szCs w:val="20"/>
        </w:rPr>
        <w:t>__________________</w:t>
      </w:r>
      <w:r>
        <w:rPr>
          <w:rFonts w:asciiTheme="majorHAnsi" w:hAnsiTheme="majorHAnsi" w:cstheme="majorHAnsi"/>
          <w:sz w:val="20"/>
          <w:szCs w:val="20"/>
        </w:rPr>
        <w:t>, pelo presente termo, DECLARO QUE:</w:t>
      </w:r>
    </w:p>
    <w:p w14:paraId="67A8CF45">
      <w:pPr>
        <w:spacing w:before="120" w:after="120" w:line="360" w:lineRule="auto"/>
        <w:ind w:right="424"/>
        <w:jc w:val="both"/>
        <w:rPr>
          <w:rFonts w:asciiTheme="majorHAnsi" w:hAnsiTheme="majorHAnsi" w:cstheme="majorHAnsi"/>
          <w:sz w:val="20"/>
          <w:szCs w:val="20"/>
        </w:rPr>
      </w:pPr>
    </w:p>
    <w:p w14:paraId="54D27046">
      <w:pPr>
        <w:spacing w:before="120" w:after="120" w:line="360" w:lineRule="auto"/>
        <w:ind w:right="424"/>
        <w:jc w:val="both"/>
        <w:rPr>
          <w:rFonts w:asciiTheme="majorHAnsi" w:hAnsiTheme="majorHAnsi" w:cstheme="majorHAnsi"/>
          <w:sz w:val="20"/>
          <w:szCs w:val="20"/>
        </w:rPr>
      </w:pPr>
      <w:r>
        <w:rPr>
          <w:rFonts w:asciiTheme="majorHAnsi" w:hAnsiTheme="majorHAnsi" w:cstheme="majorHAnsi"/>
          <w:sz w:val="20"/>
          <w:szCs w:val="20"/>
        </w:rPr>
        <w:t xml:space="preserve">Estou ciente da minha designação para atuar como </w:t>
      </w:r>
      <w:r>
        <w:rPr>
          <w:rFonts w:asciiTheme="majorHAnsi" w:hAnsiTheme="majorHAnsi" w:cstheme="majorHAnsi"/>
          <w:color w:val="0070C0"/>
          <w:sz w:val="20"/>
          <w:szCs w:val="20"/>
        </w:rPr>
        <w:t xml:space="preserve">gestor/fiscal </w:t>
      </w:r>
      <w:r>
        <w:rPr>
          <w:rFonts w:asciiTheme="majorHAnsi" w:hAnsiTheme="majorHAnsi" w:cstheme="majorHAnsi"/>
          <w:color w:val="FF0000"/>
          <w:sz w:val="20"/>
          <w:szCs w:val="20"/>
        </w:rPr>
        <w:t>(indicar conforme o caso)</w:t>
      </w:r>
      <w:r>
        <w:rPr>
          <w:rFonts w:asciiTheme="majorHAnsi" w:hAnsiTheme="majorHAnsi" w:cstheme="majorHAnsi"/>
          <w:sz w:val="20"/>
          <w:szCs w:val="20"/>
        </w:rPr>
        <w:t>;</w:t>
      </w:r>
    </w:p>
    <w:p w14:paraId="5BA522C5">
      <w:pPr>
        <w:spacing w:before="120" w:after="120" w:line="360" w:lineRule="auto"/>
        <w:ind w:right="424"/>
        <w:jc w:val="both"/>
        <w:rPr>
          <w:rFonts w:asciiTheme="majorHAnsi" w:hAnsiTheme="majorHAnsi" w:cstheme="majorHAnsi"/>
          <w:sz w:val="20"/>
          <w:szCs w:val="20"/>
        </w:rPr>
      </w:pPr>
      <w:r>
        <w:rPr>
          <w:rFonts w:asciiTheme="majorHAnsi" w:hAnsiTheme="majorHAnsi" w:cstheme="majorHAnsi"/>
          <w:sz w:val="20"/>
          <w:szCs w:val="20"/>
        </w:rPr>
        <w:t>Estou ciente de que minha substituição poderá ser realizada pela autoridade competente, por razões de conveniência ou interesse público.</w:t>
      </w:r>
    </w:p>
    <w:p w14:paraId="6E4EA374">
      <w:pPr>
        <w:spacing w:before="120" w:after="120" w:line="360" w:lineRule="auto"/>
        <w:ind w:right="424"/>
        <w:jc w:val="both"/>
        <w:rPr>
          <w:rFonts w:asciiTheme="majorHAnsi" w:hAnsiTheme="majorHAnsi" w:cstheme="majorHAnsi"/>
          <w:sz w:val="20"/>
          <w:szCs w:val="20"/>
        </w:rPr>
      </w:pPr>
    </w:p>
    <w:p w14:paraId="3D84D9E0">
      <w:pPr>
        <w:spacing w:before="120" w:after="120" w:line="360" w:lineRule="auto"/>
        <w:ind w:right="424"/>
        <w:jc w:val="both"/>
        <w:rPr>
          <w:rFonts w:asciiTheme="majorHAnsi" w:hAnsiTheme="majorHAnsi" w:cstheme="majorHAnsi"/>
          <w:sz w:val="20"/>
          <w:szCs w:val="20"/>
        </w:rPr>
      </w:pPr>
    </w:p>
    <w:p w14:paraId="4E50E326">
      <w:pPr>
        <w:tabs>
          <w:tab w:val="left" w:pos="426"/>
          <w:tab w:val="left" w:pos="1191"/>
        </w:tabs>
        <w:spacing w:after="240"/>
        <w:ind w:right="424"/>
        <w:jc w:val="center"/>
        <w:rPr>
          <w:rFonts w:asciiTheme="majorHAnsi" w:hAnsiTheme="majorHAnsi" w:cstheme="majorHAnsi"/>
          <w:sz w:val="20"/>
          <w:szCs w:val="20"/>
        </w:rPr>
      </w:pPr>
      <w:r>
        <w:rPr>
          <w:rFonts w:asciiTheme="majorHAnsi" w:hAnsiTheme="majorHAnsi" w:cstheme="majorHAnsi"/>
          <w:sz w:val="20"/>
          <w:szCs w:val="20"/>
        </w:rPr>
        <w:t xml:space="preserve">Recife, </w:t>
      </w:r>
      <w:r>
        <w:rPr>
          <w:rFonts w:asciiTheme="majorHAnsi" w:hAnsiTheme="majorHAnsi" w:cstheme="majorHAnsi"/>
          <w:color w:val="0070C0"/>
          <w:sz w:val="20"/>
          <w:szCs w:val="20"/>
        </w:rPr>
        <w:t>___</w:t>
      </w:r>
      <w:r>
        <w:rPr>
          <w:rFonts w:asciiTheme="majorHAnsi" w:hAnsiTheme="majorHAnsi" w:cstheme="majorHAnsi"/>
          <w:sz w:val="20"/>
          <w:szCs w:val="20"/>
        </w:rPr>
        <w:t xml:space="preserve"> de </w:t>
      </w:r>
      <w:r>
        <w:rPr>
          <w:rFonts w:asciiTheme="majorHAnsi" w:hAnsiTheme="majorHAnsi" w:cstheme="majorHAnsi"/>
          <w:color w:val="0070C0"/>
          <w:sz w:val="20"/>
          <w:szCs w:val="20"/>
        </w:rPr>
        <w:t>_______________</w:t>
      </w:r>
      <w:r>
        <w:rPr>
          <w:rFonts w:asciiTheme="majorHAnsi" w:hAnsiTheme="majorHAnsi" w:cstheme="majorHAnsi"/>
          <w:sz w:val="20"/>
          <w:szCs w:val="20"/>
        </w:rPr>
        <w:t xml:space="preserve"> de </w:t>
      </w:r>
      <w:r>
        <w:rPr>
          <w:rFonts w:asciiTheme="majorHAnsi" w:hAnsiTheme="majorHAnsi" w:cstheme="majorHAnsi"/>
          <w:color w:val="0070C0"/>
          <w:sz w:val="20"/>
          <w:szCs w:val="20"/>
        </w:rPr>
        <w:t>______</w:t>
      </w:r>
      <w:r>
        <w:rPr>
          <w:rFonts w:asciiTheme="majorHAnsi" w:hAnsiTheme="majorHAnsi" w:cstheme="majorHAnsi"/>
          <w:sz w:val="20"/>
          <w:szCs w:val="20"/>
        </w:rPr>
        <w:t>.</w:t>
      </w:r>
    </w:p>
    <w:p w14:paraId="4509E507">
      <w:pPr>
        <w:spacing w:after="0"/>
        <w:ind w:right="424"/>
        <w:rPr>
          <w:rFonts w:asciiTheme="majorHAnsi" w:hAnsiTheme="majorHAnsi" w:cstheme="majorHAnsi"/>
          <w:sz w:val="20"/>
          <w:szCs w:val="20"/>
        </w:rPr>
      </w:pPr>
    </w:p>
    <w:p w14:paraId="596CFA3A">
      <w:pPr>
        <w:spacing w:after="0"/>
        <w:ind w:right="424"/>
        <w:rPr>
          <w:rFonts w:asciiTheme="majorHAnsi" w:hAnsiTheme="majorHAnsi" w:cstheme="majorHAnsi"/>
          <w:sz w:val="20"/>
          <w:szCs w:val="20"/>
        </w:rPr>
      </w:pPr>
    </w:p>
    <w:p w14:paraId="796547A8">
      <w:pPr>
        <w:spacing w:after="0"/>
        <w:ind w:right="424"/>
        <w:jc w:val="center"/>
        <w:rPr>
          <w:rFonts w:asciiTheme="majorHAnsi" w:hAnsiTheme="majorHAnsi" w:cstheme="majorHAnsi"/>
          <w:sz w:val="20"/>
          <w:szCs w:val="20"/>
        </w:rPr>
      </w:pPr>
      <w:r>
        <w:rPr>
          <w:rFonts w:asciiTheme="majorHAnsi" w:hAnsiTheme="majorHAnsi" w:cstheme="majorHAnsi"/>
          <w:color w:val="3E4756"/>
          <w:sz w:val="20"/>
          <w:szCs w:val="20"/>
        </w:rPr>
        <w:t>______________________________________________________________________________</w:t>
      </w:r>
    </w:p>
    <w:p w14:paraId="0D75E067">
      <w:pPr>
        <w:spacing w:after="0" w:line="360" w:lineRule="auto"/>
        <w:ind w:right="424"/>
        <w:jc w:val="center"/>
        <w:rPr>
          <w:rFonts w:asciiTheme="majorHAnsi" w:hAnsiTheme="majorHAnsi" w:cstheme="majorHAnsi"/>
          <w:sz w:val="20"/>
          <w:szCs w:val="20"/>
        </w:rPr>
      </w:pPr>
      <w:r>
        <w:rPr>
          <w:rFonts w:asciiTheme="majorHAnsi" w:hAnsiTheme="majorHAnsi" w:cstheme="majorHAnsi"/>
          <w:b/>
          <w:color w:val="0070C0"/>
          <w:sz w:val="20"/>
          <w:szCs w:val="20"/>
        </w:rPr>
        <w:t>ASSINATURA DO FISCAL/GESTOR</w:t>
      </w:r>
    </w:p>
    <w:p w14:paraId="27A084B9">
      <w:pPr>
        <w:spacing w:after="0"/>
        <w:rPr>
          <w:rFonts w:asciiTheme="majorHAnsi" w:hAnsiTheme="majorHAnsi" w:cstheme="majorHAnsi"/>
          <w:sz w:val="20"/>
          <w:szCs w:val="20"/>
        </w:rPr>
      </w:pPr>
    </w:p>
    <w:p w14:paraId="5DD4EE02">
      <w:pPr>
        <w:rPr>
          <w:rFonts w:eastAsia="Times New Roman" w:asciiTheme="majorHAnsi" w:hAnsiTheme="majorHAnsi" w:cstheme="majorHAnsi"/>
          <w:sz w:val="20"/>
          <w:szCs w:val="20"/>
        </w:rPr>
      </w:pPr>
    </w:p>
    <w:p w14:paraId="231A9171">
      <w:pPr>
        <w:rPr>
          <w:rFonts w:eastAsia="Times New Roman" w:asciiTheme="majorHAnsi" w:hAnsiTheme="majorHAnsi" w:cstheme="majorHAnsi"/>
          <w:sz w:val="20"/>
          <w:szCs w:val="20"/>
        </w:rPr>
      </w:pPr>
    </w:p>
    <w:p w14:paraId="27F03B0A">
      <w:pPr>
        <w:rPr>
          <w:rFonts w:eastAsia="Times New Roman" w:asciiTheme="majorHAnsi" w:hAnsiTheme="majorHAnsi" w:cstheme="majorHAnsi"/>
          <w:sz w:val="20"/>
          <w:szCs w:val="20"/>
        </w:rPr>
      </w:pPr>
    </w:p>
    <w:p w14:paraId="1B0DE5AA">
      <w:pPr>
        <w:rPr>
          <w:rFonts w:eastAsia="Times New Roman" w:asciiTheme="majorHAnsi" w:hAnsiTheme="majorHAnsi" w:cstheme="majorHAnsi"/>
          <w:sz w:val="20"/>
          <w:szCs w:val="20"/>
        </w:rPr>
      </w:pPr>
    </w:p>
    <w:p w14:paraId="5110DCEC">
      <w:pPr>
        <w:rPr>
          <w:rFonts w:eastAsia="Times New Roman" w:asciiTheme="majorHAnsi" w:hAnsiTheme="majorHAnsi" w:cstheme="majorHAnsi"/>
          <w:sz w:val="20"/>
          <w:szCs w:val="20"/>
        </w:rPr>
      </w:pPr>
    </w:p>
    <w:p w14:paraId="2F2B9EE9">
      <w:pPr>
        <w:rPr>
          <w:rFonts w:eastAsia="Times New Roman" w:asciiTheme="majorHAnsi" w:hAnsiTheme="majorHAnsi" w:cstheme="majorHAnsi"/>
          <w:sz w:val="20"/>
          <w:szCs w:val="20"/>
        </w:rPr>
      </w:pPr>
    </w:p>
    <w:p w14:paraId="6BD96CFD">
      <w:pPr>
        <w:shd w:val="clear" w:color="auto" w:fill="8EAADB" w:themeFill="accent1" w:themeFillTint="99"/>
        <w:spacing w:before="120" w:after="0" w:line="240" w:lineRule="auto"/>
        <w:jc w:val="center"/>
        <w:rPr>
          <w:rFonts w:eastAsia="Times New Roman" w:asciiTheme="majorHAnsi" w:hAnsiTheme="majorHAnsi" w:cstheme="majorHAnsi"/>
          <w:b/>
          <w:sz w:val="20"/>
          <w:szCs w:val="20"/>
        </w:rPr>
      </w:pPr>
      <w:r>
        <w:rPr>
          <w:rFonts w:eastAsia="Times New Roman" w:asciiTheme="majorHAnsi" w:hAnsiTheme="majorHAnsi" w:cstheme="majorHAnsi"/>
          <w:b/>
          <w:sz w:val="20"/>
          <w:szCs w:val="20"/>
        </w:rPr>
        <w:t>ANEXO D</w:t>
      </w:r>
    </w:p>
    <w:p w14:paraId="255EFBE0">
      <w:pPr>
        <w:shd w:val="clear" w:color="auto" w:fill="8EAADB" w:themeFill="accent1" w:themeFillTint="99"/>
        <w:spacing w:before="120" w:after="0" w:line="240" w:lineRule="auto"/>
        <w:jc w:val="center"/>
        <w:rPr>
          <w:rFonts w:eastAsia="Times New Roman" w:asciiTheme="majorHAnsi" w:hAnsiTheme="majorHAnsi" w:cstheme="majorHAnsi"/>
          <w:b/>
          <w:sz w:val="20"/>
          <w:szCs w:val="20"/>
        </w:rPr>
      </w:pPr>
      <w:r>
        <w:rPr>
          <w:rFonts w:eastAsia="Times New Roman" w:asciiTheme="majorHAnsi" w:hAnsiTheme="majorHAnsi" w:cstheme="majorHAnsi"/>
          <w:b/>
          <w:sz w:val="20"/>
          <w:szCs w:val="20"/>
        </w:rPr>
        <w:t>QUADRO RESUMO</w:t>
      </w:r>
    </w:p>
    <w:p w14:paraId="040D35D2">
      <w:pPr>
        <w:tabs>
          <w:tab w:val="left" w:pos="6547"/>
        </w:tabs>
        <w:rPr>
          <w:rFonts w:eastAsia="Times New Roman" w:asciiTheme="majorHAnsi" w:hAnsiTheme="majorHAnsi" w:cstheme="majorHAnsi"/>
          <w:sz w:val="20"/>
          <w:szCs w:val="20"/>
        </w:rPr>
      </w:pPr>
    </w:p>
    <w:tbl>
      <w:tblPr>
        <w:tblStyle w:val="132"/>
        <w:tblW w:w="9923" w:type="dxa"/>
        <w:tblInd w:w="-6" w:type="dxa"/>
        <w:tblLayout w:type="fixed"/>
        <w:tblCellMar>
          <w:top w:w="0" w:type="dxa"/>
          <w:left w:w="115" w:type="dxa"/>
          <w:bottom w:w="0" w:type="dxa"/>
          <w:right w:w="115" w:type="dxa"/>
        </w:tblCellMar>
      </w:tblPr>
      <w:tblGrid>
        <w:gridCol w:w="842"/>
        <w:gridCol w:w="1256"/>
        <w:gridCol w:w="1105"/>
        <w:gridCol w:w="2609"/>
        <w:gridCol w:w="992"/>
        <w:gridCol w:w="851"/>
        <w:gridCol w:w="1276"/>
        <w:gridCol w:w="992"/>
      </w:tblGrid>
      <w:tr w14:paraId="35C2DF14">
        <w:tblPrEx>
          <w:tblCellMar>
            <w:top w:w="0" w:type="dxa"/>
            <w:left w:w="115" w:type="dxa"/>
            <w:bottom w:w="0" w:type="dxa"/>
            <w:right w:w="115" w:type="dxa"/>
          </w:tblCellMar>
        </w:tblPrEx>
        <w:trPr>
          <w:trHeight w:val="330" w:hRule="atLeast"/>
        </w:trPr>
        <w:tc>
          <w:tcPr>
            <w:tcW w:w="9923" w:type="dxa"/>
            <w:gridSpan w:val="8"/>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7203D84A">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AMPLA CONCORRÊNCIA</w:t>
            </w:r>
          </w:p>
        </w:tc>
      </w:tr>
      <w:tr w14:paraId="08F4896A">
        <w:tblPrEx>
          <w:tblCellMar>
            <w:top w:w="0" w:type="dxa"/>
            <w:left w:w="115" w:type="dxa"/>
            <w:bottom w:w="0" w:type="dxa"/>
            <w:right w:w="115" w:type="dxa"/>
          </w:tblCellMar>
        </w:tblPrEx>
        <w:trPr>
          <w:trHeight w:val="330" w:hRule="atLeast"/>
        </w:trPr>
        <w:tc>
          <w:tcPr>
            <w:tcW w:w="842"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2AC5F2F3">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Itens</w:t>
            </w:r>
          </w:p>
          <w:p w14:paraId="364B6266">
            <w:pPr>
              <w:widowControl w:val="0"/>
              <w:autoSpaceDE w:val="0"/>
              <w:autoSpaceDN w:val="0"/>
              <w:spacing w:after="0" w:line="240" w:lineRule="auto"/>
              <w:jc w:val="center"/>
              <w:rPr>
                <w:rFonts w:eastAsia="Times New Roman" w:asciiTheme="majorHAnsi" w:hAnsiTheme="majorHAnsi" w:cstheme="majorHAnsi"/>
                <w:b/>
                <w:sz w:val="20"/>
                <w:szCs w:val="20"/>
                <w:lang w:val="en-US"/>
              </w:rPr>
            </w:pPr>
          </w:p>
        </w:tc>
        <w:tc>
          <w:tcPr>
            <w:tcW w:w="1256"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4D5BB6CD">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Código E-Fisco</w:t>
            </w:r>
          </w:p>
        </w:tc>
        <w:tc>
          <w:tcPr>
            <w:tcW w:w="1105"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22502DC1">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CATMAT</w:t>
            </w:r>
          </w:p>
        </w:tc>
        <w:tc>
          <w:tcPr>
            <w:tcW w:w="2609"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382C1503">
            <w:pPr>
              <w:widowControl w:val="0"/>
              <w:autoSpaceDE w:val="0"/>
              <w:autoSpaceDN w:val="0"/>
              <w:spacing w:after="0" w:line="240" w:lineRule="auto"/>
              <w:jc w:val="center"/>
              <w:rPr>
                <w:rFonts w:eastAsia="Times New Roman" w:asciiTheme="majorHAnsi" w:hAnsiTheme="majorHAnsi" w:cstheme="majorHAnsi"/>
                <w:sz w:val="20"/>
                <w:szCs w:val="20"/>
                <w:lang w:val="en-US"/>
              </w:rPr>
            </w:pPr>
            <w:r>
              <w:rPr>
                <w:rFonts w:eastAsia="Times New Roman" w:asciiTheme="majorHAnsi" w:hAnsiTheme="majorHAnsi" w:cstheme="majorHAnsi"/>
                <w:b/>
                <w:sz w:val="20"/>
                <w:szCs w:val="20"/>
                <w:lang w:val="en-US"/>
              </w:rPr>
              <w:t>Descrição</w:t>
            </w:r>
          </w:p>
        </w:tc>
        <w:tc>
          <w:tcPr>
            <w:tcW w:w="992"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105AE38F">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Unid.</w:t>
            </w:r>
          </w:p>
        </w:tc>
        <w:tc>
          <w:tcPr>
            <w:tcW w:w="851"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1D400CC0">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Qtde</w:t>
            </w:r>
          </w:p>
        </w:tc>
        <w:tc>
          <w:tcPr>
            <w:tcW w:w="1276"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0D92018A">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Valor unitário máximo</w:t>
            </w:r>
          </w:p>
        </w:tc>
        <w:tc>
          <w:tcPr>
            <w:tcW w:w="992" w:type="dxa"/>
            <w:tcBorders>
              <w:top w:val="single" w:color="000000" w:sz="4" w:space="0"/>
              <w:left w:val="single" w:color="000000" w:sz="4" w:space="0"/>
              <w:bottom w:val="single" w:color="000000" w:sz="4" w:space="0"/>
              <w:right w:val="single" w:color="000000" w:sz="4" w:space="0"/>
            </w:tcBorders>
            <w:shd w:val="clear" w:color="auto" w:fill="8EAADB" w:themeFill="accent1" w:themeFillTint="99"/>
            <w:vAlign w:val="center"/>
          </w:tcPr>
          <w:p w14:paraId="357E851E">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Valor Total</w:t>
            </w:r>
          </w:p>
        </w:tc>
      </w:tr>
      <w:tr w14:paraId="6024D8CF">
        <w:tblPrEx>
          <w:tblCellMar>
            <w:top w:w="0" w:type="dxa"/>
            <w:left w:w="115" w:type="dxa"/>
            <w:bottom w:w="0" w:type="dxa"/>
            <w:right w:w="115" w:type="dxa"/>
          </w:tblCellMar>
        </w:tblPrEx>
        <w:trPr>
          <w:trHeight w:val="452"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1FBE">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1</w:t>
            </w:r>
          </w:p>
        </w:tc>
        <w:tc>
          <w:tcPr>
            <w:tcW w:w="1256" w:type="dxa"/>
            <w:tcBorders>
              <w:top w:val="single" w:color="000000"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3AC972C">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4682190</w:t>
            </w:r>
          </w:p>
        </w:tc>
        <w:tc>
          <w:tcPr>
            <w:tcW w:w="1105" w:type="dxa"/>
            <w:tcBorders>
              <w:top w:val="single" w:color="000000"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5C08DD23">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437940</w:t>
            </w:r>
          </w:p>
        </w:tc>
        <w:tc>
          <w:tcPr>
            <w:tcW w:w="2609" w:type="dxa"/>
            <w:tcBorders>
              <w:top w:val="single" w:color="000000"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0FC9511">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CAFEÍNA</w:t>
            </w:r>
            <w:r>
              <w:rPr>
                <w:rFonts w:asciiTheme="majorHAnsi" w:hAnsiTheme="majorHAnsi" w:cstheme="majorHAnsi"/>
                <w:sz w:val="20"/>
                <w:szCs w:val="20"/>
                <w:lang w:val="en-US"/>
              </w:rPr>
              <w:t xml:space="preserve"> - CONCENTRAÇÃO/DOSAGEM </w:t>
            </w:r>
            <w:r>
              <w:rPr>
                <w:rFonts w:asciiTheme="majorHAnsi" w:hAnsiTheme="majorHAnsi" w:cstheme="majorHAnsi"/>
                <w:b/>
                <w:sz w:val="20"/>
                <w:szCs w:val="20"/>
                <w:lang w:val="en-US"/>
              </w:rPr>
              <w:t>20MG/ML</w:t>
            </w:r>
            <w:r>
              <w:rPr>
                <w:rFonts w:asciiTheme="majorHAnsi" w:hAnsiTheme="majorHAnsi" w:cstheme="majorHAnsi"/>
                <w:sz w:val="20"/>
                <w:szCs w:val="20"/>
                <w:lang w:val="en-US"/>
              </w:rPr>
              <w:t>,FORMA FARMACÊUTICA SOLUÇÃO INJETÁVEL,FORMA DE APRESENTAÇÃO AMPOLA,VIA DE ADMINISTRAÇÃO INTRAVENOSA</w:t>
            </w:r>
          </w:p>
        </w:tc>
        <w:tc>
          <w:tcPr>
            <w:tcW w:w="992" w:type="dxa"/>
            <w:tcBorders>
              <w:top w:val="single" w:color="000000"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CD44173">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AMP 1ML</w:t>
            </w:r>
          </w:p>
        </w:tc>
        <w:tc>
          <w:tcPr>
            <w:tcW w:w="851" w:type="dxa"/>
            <w:tcBorders>
              <w:top w:val="single" w:color="000000" w:sz="4" w:space="0"/>
              <w:left w:val="single" w:color="000000" w:sz="4" w:space="0"/>
              <w:bottom w:val="single" w:color="000000" w:sz="4" w:space="0"/>
              <w:right w:val="single" w:color="000000" w:sz="4" w:space="0"/>
            </w:tcBorders>
            <w:vAlign w:val="center"/>
          </w:tcPr>
          <w:p w14:paraId="109D0FE6">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1270</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6559E">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R$113,7800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D0BDD">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R$ 144.500,6000              </w:t>
            </w:r>
          </w:p>
        </w:tc>
      </w:tr>
      <w:tr w14:paraId="7A5DDA1D">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FA0E5">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2</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5939F213">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3069044</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527A6D32">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331555</w:t>
            </w:r>
          </w:p>
        </w:tc>
        <w:tc>
          <w:tcPr>
            <w:tcW w:w="2609"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37272EF7">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 xml:space="preserve">CEFALEXINA </w:t>
            </w:r>
            <w:r>
              <w:rPr>
                <w:rFonts w:asciiTheme="majorHAnsi" w:hAnsiTheme="majorHAnsi" w:cstheme="majorHAnsi"/>
                <w:sz w:val="20"/>
                <w:szCs w:val="20"/>
                <w:lang w:val="en-US"/>
              </w:rPr>
              <w:t xml:space="preserve">- CONCENTRAÇÃO/DOSAGEM </w:t>
            </w:r>
            <w:r>
              <w:rPr>
                <w:rFonts w:asciiTheme="majorHAnsi" w:hAnsiTheme="majorHAnsi" w:cstheme="majorHAnsi"/>
                <w:b/>
                <w:sz w:val="20"/>
                <w:szCs w:val="20"/>
                <w:lang w:val="en-US"/>
              </w:rPr>
              <w:t>50 MG/ML</w:t>
            </w:r>
            <w:r>
              <w:rPr>
                <w:rFonts w:asciiTheme="majorHAnsi" w:hAnsiTheme="majorHAnsi" w:cstheme="majorHAnsi"/>
                <w:sz w:val="20"/>
                <w:szCs w:val="20"/>
                <w:lang w:val="en-US"/>
              </w:rPr>
              <w:t xml:space="preserve">,FORMA FARMACÊUTICA PÓ PARA SUSPENSÃO ORAL,FORMA DE APRESENTAÇÃO FRASCO,VIA DE ADMINISTRAÇÃO ORAL </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35732564">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FRASCO C/ 60ML</w:t>
            </w:r>
          </w:p>
        </w:tc>
        <w:tc>
          <w:tcPr>
            <w:tcW w:w="851" w:type="dxa"/>
            <w:tcBorders>
              <w:top w:val="single" w:color="000000" w:sz="4" w:space="0"/>
              <w:left w:val="single" w:color="000000" w:sz="4" w:space="0"/>
              <w:bottom w:val="single" w:color="000000" w:sz="4" w:space="0"/>
              <w:right w:val="single" w:color="000000" w:sz="4" w:space="0"/>
            </w:tcBorders>
            <w:vAlign w:val="center"/>
          </w:tcPr>
          <w:p w14:paraId="7D248B83">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218</w:t>
            </w:r>
          </w:p>
        </w:tc>
        <w:tc>
          <w:tcPr>
            <w:tcW w:w="1276" w:type="dxa"/>
            <w:tcBorders>
              <w:top w:val="single" w:color="000000" w:sz="4" w:space="0"/>
              <w:bottom w:val="single" w:color="000000" w:sz="4" w:space="0"/>
              <w:right w:val="single" w:color="000000" w:sz="4" w:space="0"/>
            </w:tcBorders>
            <w:shd w:val="clear" w:color="auto" w:fill="auto"/>
            <w:vAlign w:val="center"/>
          </w:tcPr>
          <w:p w14:paraId="305C50AE">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R$ 9,6400                  </w:t>
            </w:r>
          </w:p>
        </w:tc>
        <w:tc>
          <w:tcPr>
            <w:tcW w:w="992" w:type="dxa"/>
            <w:tcBorders>
              <w:top w:val="single" w:color="000000" w:sz="4" w:space="0"/>
              <w:bottom w:val="single" w:color="000000" w:sz="4" w:space="0"/>
              <w:right w:val="single" w:color="000000" w:sz="4" w:space="0"/>
            </w:tcBorders>
            <w:shd w:val="clear" w:color="auto" w:fill="auto"/>
            <w:vAlign w:val="center"/>
          </w:tcPr>
          <w:p w14:paraId="0F6BFEF9">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w:t>
            </w:r>
          </w:p>
          <w:p w14:paraId="192F7A1D">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2.101,5200               </w:t>
            </w:r>
          </w:p>
        </w:tc>
      </w:tr>
      <w:tr w14:paraId="1A1E5F02">
        <w:tblPrEx>
          <w:tblCellMar>
            <w:top w:w="0" w:type="dxa"/>
            <w:left w:w="115" w:type="dxa"/>
            <w:bottom w:w="0" w:type="dxa"/>
            <w:right w:w="115" w:type="dxa"/>
          </w:tblCellMar>
        </w:tblPrEx>
        <w:trPr>
          <w:trHeight w:val="495"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000B">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3</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3078D68">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3289974</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1F7BF338">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270621</w:t>
            </w:r>
          </w:p>
        </w:tc>
        <w:tc>
          <w:tcPr>
            <w:tcW w:w="2609"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4C51D9A">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DIPIRONA SÓDICA + ESCOPOLAMINA, BUTILBROMETO</w:t>
            </w:r>
            <w:r>
              <w:rPr>
                <w:rFonts w:asciiTheme="majorHAnsi" w:hAnsiTheme="majorHAnsi" w:cstheme="majorHAnsi"/>
                <w:sz w:val="20"/>
                <w:szCs w:val="20"/>
                <w:lang w:val="en-US"/>
              </w:rPr>
              <w:t>, CONCENTRAÇÃO/DOSAGEM 500MG/ML + 4MG/ML RESPECTIVAMENTE, FORMA FARMACÊUTICA SOLUÇÃO INJETÁVEL, FORMA APRESENTAÇÃO AMPOLA, VIA DE ADMINISTRAÇÃO PARENTERAL</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76ABF74A">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AMP 5ML</w:t>
            </w:r>
          </w:p>
        </w:tc>
        <w:tc>
          <w:tcPr>
            <w:tcW w:w="851" w:type="dxa"/>
            <w:tcBorders>
              <w:top w:val="single" w:color="000000" w:sz="4" w:space="0"/>
              <w:left w:val="single" w:color="000000" w:sz="4" w:space="0"/>
              <w:bottom w:val="single" w:color="000000" w:sz="4" w:space="0"/>
              <w:right w:val="single" w:color="000000" w:sz="4" w:space="0"/>
            </w:tcBorders>
            <w:vAlign w:val="center"/>
          </w:tcPr>
          <w:p w14:paraId="568EBC3A">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13184</w:t>
            </w:r>
          </w:p>
        </w:tc>
        <w:tc>
          <w:tcPr>
            <w:tcW w:w="1276" w:type="dxa"/>
            <w:tcBorders>
              <w:top w:val="single" w:color="000000" w:sz="4" w:space="0"/>
              <w:bottom w:val="single" w:color="000000" w:sz="4" w:space="0"/>
              <w:right w:val="single" w:color="000000" w:sz="4" w:space="0"/>
            </w:tcBorders>
            <w:shd w:val="clear" w:color="auto" w:fill="auto"/>
            <w:vAlign w:val="center"/>
          </w:tcPr>
          <w:p w14:paraId="56D826D6">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R$ 1,5100                  </w:t>
            </w:r>
          </w:p>
        </w:tc>
        <w:tc>
          <w:tcPr>
            <w:tcW w:w="992" w:type="dxa"/>
            <w:tcBorders>
              <w:top w:val="single" w:color="000000" w:sz="4" w:space="0"/>
              <w:bottom w:val="single" w:color="000000" w:sz="4" w:space="0"/>
              <w:right w:val="single" w:color="000000" w:sz="4" w:space="0"/>
            </w:tcBorders>
            <w:shd w:val="clear" w:color="auto" w:fill="auto"/>
            <w:vAlign w:val="center"/>
          </w:tcPr>
          <w:p w14:paraId="7DEB5DA0">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w:t>
            </w:r>
          </w:p>
          <w:p w14:paraId="6ADE869D">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19.907,8400               </w:t>
            </w:r>
          </w:p>
        </w:tc>
      </w:tr>
      <w:tr w14:paraId="33DE4BC9">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D56C">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4</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7063CB39">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3090540</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1ABF65A7">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269622</w:t>
            </w:r>
          </w:p>
        </w:tc>
        <w:tc>
          <w:tcPr>
            <w:tcW w:w="2609"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2A951682">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GLICERINA</w:t>
            </w:r>
            <w:r>
              <w:rPr>
                <w:rFonts w:asciiTheme="majorHAnsi" w:hAnsiTheme="majorHAnsi" w:cstheme="majorHAnsi"/>
                <w:sz w:val="20"/>
                <w:szCs w:val="20"/>
                <w:lang w:val="en-US"/>
              </w:rPr>
              <w:t xml:space="preserve"> - CONCENTRAÇÃO/DOSAGEM </w:t>
            </w:r>
            <w:r>
              <w:rPr>
                <w:rFonts w:asciiTheme="majorHAnsi" w:hAnsiTheme="majorHAnsi" w:cstheme="majorHAnsi"/>
                <w:b/>
                <w:sz w:val="20"/>
                <w:szCs w:val="20"/>
                <w:lang w:val="en-US"/>
              </w:rPr>
              <w:t>120 MG/ML</w:t>
            </w:r>
            <w:r>
              <w:rPr>
                <w:rFonts w:asciiTheme="majorHAnsi" w:hAnsiTheme="majorHAnsi" w:cstheme="majorHAnsi"/>
                <w:sz w:val="20"/>
                <w:szCs w:val="20"/>
                <w:lang w:val="en-US"/>
              </w:rPr>
              <w:t xml:space="preserve">,FORMA FARMACÊUTICA SOLUÇÃO RETAL,FORMA DE APRESENTAÇÃO BOLSA OU FRASCO,VIA DE ADMINISTRAÇÃO RETAL </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0C716B6">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BOLSA OU FRASCO 500,000 MILILITRO</w:t>
            </w:r>
          </w:p>
        </w:tc>
        <w:tc>
          <w:tcPr>
            <w:tcW w:w="851" w:type="dxa"/>
            <w:tcBorders>
              <w:top w:val="single" w:color="000000" w:sz="4" w:space="0"/>
              <w:left w:val="single" w:color="000000" w:sz="4" w:space="0"/>
              <w:bottom w:val="single" w:color="000000" w:sz="4" w:space="0"/>
              <w:right w:val="single" w:color="000000" w:sz="4" w:space="0"/>
            </w:tcBorders>
            <w:vAlign w:val="center"/>
          </w:tcPr>
          <w:p w14:paraId="34739419">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2906</w:t>
            </w:r>
          </w:p>
        </w:tc>
        <w:tc>
          <w:tcPr>
            <w:tcW w:w="1276" w:type="dxa"/>
            <w:tcBorders>
              <w:top w:val="single" w:color="000000" w:sz="4" w:space="0"/>
              <w:bottom w:val="single" w:color="000000" w:sz="4" w:space="0"/>
              <w:right w:val="single" w:color="000000" w:sz="4" w:space="0"/>
            </w:tcBorders>
            <w:shd w:val="clear" w:color="auto" w:fill="auto"/>
            <w:vAlign w:val="center"/>
          </w:tcPr>
          <w:p w14:paraId="0C82F7B2">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R$ 10,9900                  </w:t>
            </w:r>
          </w:p>
        </w:tc>
        <w:tc>
          <w:tcPr>
            <w:tcW w:w="992" w:type="dxa"/>
            <w:tcBorders>
              <w:top w:val="single" w:color="000000" w:sz="4" w:space="0"/>
              <w:bottom w:val="single" w:color="000000" w:sz="4" w:space="0"/>
              <w:right w:val="single" w:color="000000" w:sz="4" w:space="0"/>
            </w:tcBorders>
            <w:shd w:val="clear" w:color="auto" w:fill="auto"/>
            <w:vAlign w:val="center"/>
          </w:tcPr>
          <w:p w14:paraId="694B2848">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w:t>
            </w:r>
          </w:p>
          <w:p w14:paraId="75C29538">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31.936,9400               </w:t>
            </w:r>
          </w:p>
        </w:tc>
      </w:tr>
      <w:tr w14:paraId="735328C2">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1DDA0">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5</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3EFC66CB">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3181685</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554D1EDF">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267669</w:t>
            </w:r>
          </w:p>
        </w:tc>
        <w:tc>
          <w:tcPr>
            <w:tcW w:w="2609"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9B4BE33">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 xml:space="preserve">HALOPERIDOL </w:t>
            </w:r>
            <w:r>
              <w:rPr>
                <w:rFonts w:asciiTheme="majorHAnsi" w:hAnsiTheme="majorHAnsi" w:cstheme="majorHAnsi"/>
                <w:sz w:val="20"/>
                <w:szCs w:val="20"/>
                <w:lang w:val="en-US"/>
              </w:rPr>
              <w:t xml:space="preserve">- CONCENTRAÇÃO/DOSAGEM </w:t>
            </w:r>
            <w:r>
              <w:rPr>
                <w:rFonts w:asciiTheme="majorHAnsi" w:hAnsiTheme="majorHAnsi" w:cstheme="majorHAnsi"/>
                <w:b/>
                <w:sz w:val="20"/>
                <w:szCs w:val="20"/>
                <w:lang w:val="en-US"/>
              </w:rPr>
              <w:t>5 MG,</w:t>
            </w:r>
            <w:r>
              <w:rPr>
                <w:rFonts w:asciiTheme="majorHAnsi" w:hAnsiTheme="majorHAnsi" w:cstheme="majorHAnsi"/>
                <w:sz w:val="20"/>
                <w:szCs w:val="20"/>
                <w:lang w:val="en-US"/>
              </w:rPr>
              <w:t xml:space="preserve">FORMA FARMACEUTICA </w:t>
            </w:r>
            <w:r>
              <w:rPr>
                <w:rFonts w:asciiTheme="majorHAnsi" w:hAnsiTheme="majorHAnsi" w:cstheme="majorHAnsi"/>
                <w:b/>
                <w:sz w:val="20"/>
                <w:szCs w:val="20"/>
                <w:lang w:val="en-US"/>
              </w:rPr>
              <w:t>COMPRIMIDO</w:t>
            </w:r>
            <w:r>
              <w:rPr>
                <w:rFonts w:asciiTheme="majorHAnsi" w:hAnsiTheme="majorHAnsi" w:cstheme="majorHAnsi"/>
                <w:sz w:val="20"/>
                <w:szCs w:val="20"/>
                <w:lang w:val="en-US"/>
              </w:rPr>
              <w:t>,VIA DE ADMINISTRAÇÃO ORAL</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713F235">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COMPRIMIDO</w:t>
            </w:r>
          </w:p>
        </w:tc>
        <w:tc>
          <w:tcPr>
            <w:tcW w:w="851" w:type="dxa"/>
            <w:tcBorders>
              <w:top w:val="single" w:color="000000" w:sz="4" w:space="0"/>
              <w:left w:val="single" w:color="000000" w:sz="4" w:space="0"/>
              <w:bottom w:val="single" w:color="000000" w:sz="4" w:space="0"/>
              <w:right w:val="single" w:color="000000" w:sz="4" w:space="0"/>
            </w:tcBorders>
            <w:vAlign w:val="center"/>
          </w:tcPr>
          <w:p w14:paraId="76738BF9">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10769</w:t>
            </w:r>
          </w:p>
        </w:tc>
        <w:tc>
          <w:tcPr>
            <w:tcW w:w="1276" w:type="dxa"/>
            <w:tcBorders>
              <w:top w:val="single" w:color="000000" w:sz="4" w:space="0"/>
              <w:bottom w:val="single" w:color="000000" w:sz="4" w:space="0"/>
              <w:right w:val="single" w:color="000000" w:sz="4" w:space="0"/>
            </w:tcBorders>
            <w:shd w:val="clear" w:color="auto" w:fill="auto"/>
            <w:vAlign w:val="center"/>
          </w:tcPr>
          <w:p w14:paraId="4B8837B1">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R$ 0,26                  </w:t>
            </w:r>
          </w:p>
        </w:tc>
        <w:tc>
          <w:tcPr>
            <w:tcW w:w="992" w:type="dxa"/>
            <w:tcBorders>
              <w:top w:val="single" w:color="000000" w:sz="4" w:space="0"/>
              <w:bottom w:val="single" w:color="000000" w:sz="4" w:space="0"/>
              <w:right w:val="single" w:color="000000" w:sz="4" w:space="0"/>
            </w:tcBorders>
            <w:shd w:val="clear" w:color="auto" w:fill="auto"/>
            <w:vAlign w:val="center"/>
          </w:tcPr>
          <w:p w14:paraId="7AC94E6A">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w:t>
            </w:r>
          </w:p>
          <w:p w14:paraId="2732919F">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2.799,9400               </w:t>
            </w:r>
          </w:p>
        </w:tc>
      </w:tr>
      <w:tr w14:paraId="522919B8">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6E65">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6</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EE0CACA">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3088260</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36C45D80">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268487</w:t>
            </w:r>
          </w:p>
        </w:tc>
        <w:tc>
          <w:tcPr>
            <w:tcW w:w="2609"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A46CA3B">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 xml:space="preserve">MEROPENEM </w:t>
            </w:r>
            <w:r>
              <w:rPr>
                <w:rFonts w:asciiTheme="majorHAnsi" w:hAnsiTheme="majorHAnsi" w:cstheme="majorHAnsi"/>
                <w:sz w:val="20"/>
                <w:szCs w:val="20"/>
                <w:lang w:val="en-US"/>
              </w:rPr>
              <w:t xml:space="preserve">- CONCENTRAÇÃO/DOSAGEM </w:t>
            </w:r>
            <w:r>
              <w:rPr>
                <w:rFonts w:asciiTheme="majorHAnsi" w:hAnsiTheme="majorHAnsi" w:cstheme="majorHAnsi"/>
                <w:b/>
                <w:sz w:val="20"/>
                <w:szCs w:val="20"/>
                <w:lang w:val="en-US"/>
              </w:rPr>
              <w:t>500 MG,</w:t>
            </w:r>
            <w:r>
              <w:rPr>
                <w:rFonts w:asciiTheme="majorHAnsi" w:hAnsiTheme="majorHAnsi" w:cstheme="majorHAnsi"/>
                <w:sz w:val="20"/>
                <w:szCs w:val="20"/>
                <w:lang w:val="en-US"/>
              </w:rPr>
              <w:t xml:space="preserve">FORMA FARMACÊUTICA PO PARA SOLUÇÃO INJETÁVEL, FORMA DE APRESENTAÇÃO FRASCO-AMPOLA, VIA DE ADMINISTRAÇÃO INTRAVENOSA </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0A470682">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F/A</w:t>
            </w:r>
          </w:p>
        </w:tc>
        <w:tc>
          <w:tcPr>
            <w:tcW w:w="851" w:type="dxa"/>
            <w:tcBorders>
              <w:top w:val="single" w:color="000000" w:sz="4" w:space="0"/>
              <w:left w:val="single" w:color="000000" w:sz="4" w:space="0"/>
              <w:bottom w:val="single" w:color="000000" w:sz="4" w:space="0"/>
              <w:right w:val="single" w:color="000000" w:sz="4" w:space="0"/>
            </w:tcBorders>
            <w:vAlign w:val="center"/>
          </w:tcPr>
          <w:p w14:paraId="2EFF7B81">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950</w:t>
            </w:r>
          </w:p>
        </w:tc>
        <w:tc>
          <w:tcPr>
            <w:tcW w:w="1276" w:type="dxa"/>
            <w:tcBorders>
              <w:top w:val="single" w:color="000000" w:sz="4" w:space="0"/>
              <w:bottom w:val="single" w:color="000000" w:sz="4" w:space="0"/>
              <w:right w:val="single" w:color="000000" w:sz="4" w:space="0"/>
            </w:tcBorders>
            <w:shd w:val="clear" w:color="auto" w:fill="auto"/>
            <w:vAlign w:val="center"/>
          </w:tcPr>
          <w:p w14:paraId="08EFEEF6">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R$ 13,1000                 </w:t>
            </w:r>
          </w:p>
        </w:tc>
        <w:tc>
          <w:tcPr>
            <w:tcW w:w="992" w:type="dxa"/>
            <w:tcBorders>
              <w:top w:val="single" w:color="000000" w:sz="4" w:space="0"/>
              <w:bottom w:val="single" w:color="000000" w:sz="4" w:space="0"/>
              <w:right w:val="single" w:color="000000" w:sz="4" w:space="0"/>
            </w:tcBorders>
            <w:shd w:val="clear" w:color="auto" w:fill="auto"/>
            <w:vAlign w:val="center"/>
          </w:tcPr>
          <w:p w14:paraId="50955166">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R$ 12.445,00              </w:t>
            </w:r>
          </w:p>
        </w:tc>
      </w:tr>
      <w:tr w14:paraId="15752E49">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9C4A">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7</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0B7B5100">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3183548</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2C6F1809">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345259</w:t>
            </w:r>
          </w:p>
        </w:tc>
        <w:tc>
          <w:tcPr>
            <w:tcW w:w="2609"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D71C218">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METOPROLOL,</w:t>
            </w:r>
            <w:r>
              <w:rPr>
                <w:rFonts w:asciiTheme="majorHAnsi" w:hAnsiTheme="majorHAnsi" w:cstheme="majorHAnsi"/>
                <w:sz w:val="20"/>
                <w:szCs w:val="20"/>
                <w:lang w:val="en-US"/>
              </w:rPr>
              <w:t xml:space="preserve"> TARTARATO - CONCENTRAÇÃO/DOSAGEM </w:t>
            </w:r>
            <w:r>
              <w:rPr>
                <w:rFonts w:asciiTheme="majorHAnsi" w:hAnsiTheme="majorHAnsi" w:cstheme="majorHAnsi"/>
                <w:b/>
                <w:sz w:val="20"/>
                <w:szCs w:val="20"/>
                <w:lang w:val="en-US"/>
              </w:rPr>
              <w:t>1 MG/ML,</w:t>
            </w:r>
            <w:r>
              <w:rPr>
                <w:rFonts w:asciiTheme="majorHAnsi" w:hAnsiTheme="majorHAnsi" w:cstheme="majorHAnsi"/>
                <w:sz w:val="20"/>
                <w:szCs w:val="20"/>
                <w:lang w:val="en-US"/>
              </w:rPr>
              <w:t>FORMA FARMACÊUTICA SOLUÇÃO INJETÁVEL,FORMA DE APRESENTAÇÃO AMPOLA,VIA DE ADMINISTRAÇÃO INTRAVENOSA</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615AF446">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Ampola 5ml</w:t>
            </w:r>
          </w:p>
        </w:tc>
        <w:tc>
          <w:tcPr>
            <w:tcW w:w="851" w:type="dxa"/>
            <w:tcBorders>
              <w:top w:val="single" w:color="000000" w:sz="4" w:space="0"/>
              <w:left w:val="single" w:color="000000" w:sz="4" w:space="0"/>
              <w:bottom w:val="single" w:color="000000" w:sz="4" w:space="0"/>
              <w:right w:val="single" w:color="000000" w:sz="4" w:space="0"/>
            </w:tcBorders>
            <w:vAlign w:val="center"/>
          </w:tcPr>
          <w:p w14:paraId="236D4C0E">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1556</w:t>
            </w:r>
          </w:p>
        </w:tc>
        <w:tc>
          <w:tcPr>
            <w:tcW w:w="1276" w:type="dxa"/>
            <w:tcBorders>
              <w:top w:val="single" w:color="000000" w:sz="4" w:space="0"/>
              <w:bottom w:val="single" w:color="000000" w:sz="4" w:space="0"/>
              <w:right w:val="single" w:color="000000" w:sz="4" w:space="0"/>
            </w:tcBorders>
            <w:shd w:val="clear" w:color="auto" w:fill="auto"/>
            <w:vAlign w:val="center"/>
          </w:tcPr>
          <w:p w14:paraId="7EC4DA73">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R$ 19,4300                  </w:t>
            </w:r>
          </w:p>
        </w:tc>
        <w:tc>
          <w:tcPr>
            <w:tcW w:w="992" w:type="dxa"/>
            <w:tcBorders>
              <w:top w:val="single" w:color="000000" w:sz="4" w:space="0"/>
              <w:bottom w:val="single" w:color="000000" w:sz="4" w:space="0"/>
              <w:right w:val="single" w:color="000000" w:sz="4" w:space="0"/>
            </w:tcBorders>
            <w:shd w:val="clear" w:color="auto" w:fill="auto"/>
            <w:vAlign w:val="center"/>
          </w:tcPr>
          <w:p w14:paraId="7191FE70">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R$30.233,0800               </w:t>
            </w:r>
          </w:p>
        </w:tc>
      </w:tr>
      <w:tr w14:paraId="4A71C593">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32FEA">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8</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32A445E0">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3085384</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05B43E36">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358755</w:t>
            </w:r>
          </w:p>
        </w:tc>
        <w:tc>
          <w:tcPr>
            <w:tcW w:w="2609"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1CE05B3B">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MISOPROSTOL</w:t>
            </w:r>
            <w:r>
              <w:rPr>
                <w:rFonts w:asciiTheme="majorHAnsi" w:hAnsiTheme="majorHAnsi" w:cstheme="majorHAnsi"/>
                <w:sz w:val="20"/>
                <w:szCs w:val="20"/>
                <w:lang w:val="en-US"/>
              </w:rPr>
              <w:t xml:space="preserve"> - CONCENTRAÇÃO/DOSAGEM DE </w:t>
            </w:r>
            <w:r>
              <w:rPr>
                <w:rFonts w:asciiTheme="majorHAnsi" w:hAnsiTheme="majorHAnsi" w:cstheme="majorHAnsi"/>
                <w:b/>
                <w:sz w:val="20"/>
                <w:szCs w:val="20"/>
                <w:lang w:val="en-US"/>
              </w:rPr>
              <w:t>200MCG</w:t>
            </w:r>
            <w:r>
              <w:rPr>
                <w:rFonts w:asciiTheme="majorHAnsi" w:hAnsiTheme="majorHAnsi" w:cstheme="majorHAnsi"/>
                <w:sz w:val="20"/>
                <w:szCs w:val="20"/>
                <w:lang w:val="en-US"/>
              </w:rPr>
              <w:t>, FORMA FARMACEUTICA COMP, VIA DE ADMINISTRAÇÃO VAGINAL</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5C6C74EF">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COMPRIMIDO</w:t>
            </w:r>
          </w:p>
        </w:tc>
        <w:tc>
          <w:tcPr>
            <w:tcW w:w="851" w:type="dxa"/>
            <w:tcBorders>
              <w:top w:val="single" w:color="000000" w:sz="4" w:space="0"/>
              <w:left w:val="single" w:color="000000" w:sz="4" w:space="0"/>
              <w:bottom w:val="single" w:color="000000" w:sz="4" w:space="0"/>
              <w:right w:val="single" w:color="000000" w:sz="4" w:space="0"/>
            </w:tcBorders>
            <w:vAlign w:val="center"/>
          </w:tcPr>
          <w:p w14:paraId="02A970A6">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8968</w:t>
            </w:r>
          </w:p>
        </w:tc>
        <w:tc>
          <w:tcPr>
            <w:tcW w:w="1276" w:type="dxa"/>
            <w:tcBorders>
              <w:top w:val="single" w:color="000000" w:sz="4" w:space="0"/>
              <w:bottom w:val="single" w:color="000000" w:sz="4" w:space="0"/>
              <w:right w:val="single" w:color="000000" w:sz="4" w:space="0"/>
            </w:tcBorders>
            <w:shd w:val="clear" w:color="auto" w:fill="auto"/>
            <w:vAlign w:val="center"/>
          </w:tcPr>
          <w:p w14:paraId="7FD901BD">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R$ 42,4700                 </w:t>
            </w:r>
          </w:p>
        </w:tc>
        <w:tc>
          <w:tcPr>
            <w:tcW w:w="992" w:type="dxa"/>
            <w:tcBorders>
              <w:top w:val="single" w:color="000000" w:sz="4" w:space="0"/>
              <w:bottom w:val="single" w:color="000000" w:sz="4" w:space="0"/>
              <w:right w:val="single" w:color="000000" w:sz="4" w:space="0"/>
            </w:tcBorders>
            <w:shd w:val="clear" w:color="auto" w:fill="auto"/>
            <w:vAlign w:val="center"/>
          </w:tcPr>
          <w:p w14:paraId="788FE62F">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w:t>
            </w:r>
          </w:p>
          <w:p w14:paraId="67A33FF3">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380.870,9600               </w:t>
            </w:r>
          </w:p>
        </w:tc>
      </w:tr>
      <w:tr w14:paraId="133B0B31">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4DD7A">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9</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250BA895">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3169103</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2C1CDF2A">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304872</w:t>
            </w:r>
          </w:p>
        </w:tc>
        <w:tc>
          <w:tcPr>
            <w:tcW w:w="2609"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09947DDF">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 xml:space="preserve">MORFINA, SULFATO </w:t>
            </w:r>
            <w:r>
              <w:rPr>
                <w:rFonts w:asciiTheme="majorHAnsi" w:hAnsiTheme="majorHAnsi" w:cstheme="majorHAnsi"/>
                <w:sz w:val="20"/>
                <w:szCs w:val="20"/>
                <w:lang w:val="en-US"/>
              </w:rPr>
              <w:t>- CONCENTRAÇÃO/DOSAGEM</w:t>
            </w:r>
            <w:r>
              <w:rPr>
                <w:rFonts w:asciiTheme="majorHAnsi" w:hAnsiTheme="majorHAnsi" w:cstheme="majorHAnsi"/>
                <w:b/>
                <w:sz w:val="20"/>
                <w:szCs w:val="20"/>
                <w:lang w:val="en-US"/>
              </w:rPr>
              <w:t xml:space="preserve"> 0,2 MG/ML</w:t>
            </w:r>
            <w:r>
              <w:rPr>
                <w:rFonts w:asciiTheme="majorHAnsi" w:hAnsiTheme="majorHAnsi" w:cstheme="majorHAnsi"/>
                <w:sz w:val="20"/>
                <w:szCs w:val="20"/>
                <w:lang w:val="en-US"/>
              </w:rPr>
              <w:t>,FORMA FARMACEUTICA SOLUÇÃO INJETÁVEL,FORMA DE APRESENTAÇÃO AMPOLA,VIA DE ADMINISTRAÇÃO PARENTERAL, PERIDURAL OU INTRATECAL</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485898D6">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AMP 1ML</w:t>
            </w:r>
          </w:p>
        </w:tc>
        <w:tc>
          <w:tcPr>
            <w:tcW w:w="851" w:type="dxa"/>
            <w:tcBorders>
              <w:top w:val="single" w:color="000000" w:sz="4" w:space="0"/>
              <w:left w:val="single" w:color="000000" w:sz="4" w:space="0"/>
              <w:bottom w:val="single" w:color="000000" w:sz="4" w:space="0"/>
              <w:right w:val="single" w:color="000000" w:sz="4" w:space="0"/>
            </w:tcBorders>
            <w:vAlign w:val="center"/>
          </w:tcPr>
          <w:p w14:paraId="374D2BB9">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9613</w:t>
            </w:r>
          </w:p>
        </w:tc>
        <w:tc>
          <w:tcPr>
            <w:tcW w:w="1276" w:type="dxa"/>
            <w:tcBorders>
              <w:top w:val="single" w:color="000000" w:sz="4" w:space="0"/>
              <w:bottom w:val="single" w:color="000000" w:sz="4" w:space="0"/>
              <w:right w:val="single" w:color="000000" w:sz="4" w:space="0"/>
            </w:tcBorders>
            <w:shd w:val="clear" w:color="auto" w:fill="auto"/>
            <w:vAlign w:val="center"/>
          </w:tcPr>
          <w:p w14:paraId="1DC3D951">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R$ 6,8500                 </w:t>
            </w:r>
          </w:p>
        </w:tc>
        <w:tc>
          <w:tcPr>
            <w:tcW w:w="992" w:type="dxa"/>
            <w:tcBorders>
              <w:top w:val="single" w:color="000000" w:sz="4" w:space="0"/>
              <w:bottom w:val="single" w:color="000000" w:sz="4" w:space="0"/>
              <w:right w:val="single" w:color="000000" w:sz="4" w:space="0"/>
            </w:tcBorders>
            <w:shd w:val="clear" w:color="auto" w:fill="auto"/>
            <w:vAlign w:val="center"/>
          </w:tcPr>
          <w:p w14:paraId="394FEC08">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w:t>
            </w:r>
          </w:p>
          <w:p w14:paraId="17A0BFD9">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65.849,0500               </w:t>
            </w:r>
          </w:p>
        </w:tc>
      </w:tr>
      <w:tr w14:paraId="51CD09F3">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3AC1">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10</w:t>
            </w:r>
          </w:p>
        </w:tc>
        <w:tc>
          <w:tcPr>
            <w:tcW w:w="1256"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73CA0C1E">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3085554</w:t>
            </w:r>
          </w:p>
        </w:tc>
        <w:tc>
          <w:tcPr>
            <w:tcW w:w="1105" w:type="dxa"/>
            <w:tcBorders>
              <w:top w:val="single" w:color="CCCCCC" w:sz="8" w:space="0"/>
              <w:left w:val="single" w:color="000000"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79E87A15">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273457</w:t>
            </w:r>
          </w:p>
        </w:tc>
        <w:tc>
          <w:tcPr>
            <w:tcW w:w="2609" w:type="dxa"/>
            <w:tcBorders>
              <w:top w:val="single" w:color="CCCCCC" w:sz="8" w:space="0"/>
              <w:left w:val="single" w:color="CCCCCC" w:sz="8" w:space="0"/>
              <w:bottom w:val="single" w:color="auto" w:sz="4" w:space="0"/>
              <w:right w:val="single" w:color="000000" w:sz="8" w:space="0"/>
            </w:tcBorders>
            <w:shd w:val="clear" w:color="auto" w:fill="FFFFFF"/>
            <w:tcMar>
              <w:top w:w="0" w:type="dxa"/>
              <w:left w:w="40" w:type="dxa"/>
              <w:bottom w:w="0" w:type="dxa"/>
              <w:right w:w="40" w:type="dxa"/>
            </w:tcMar>
            <w:vAlign w:val="center"/>
          </w:tcPr>
          <w:p w14:paraId="435B679C">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NEOSTIGMINA, METILSULFATO</w:t>
            </w:r>
            <w:r>
              <w:rPr>
                <w:rFonts w:asciiTheme="majorHAnsi" w:hAnsiTheme="majorHAnsi" w:cstheme="majorHAnsi"/>
                <w:sz w:val="20"/>
                <w:szCs w:val="20"/>
                <w:lang w:val="en-US"/>
              </w:rPr>
              <w:t xml:space="preserve"> - CONCENTRAÇÃO/DOSAGEM </w:t>
            </w:r>
            <w:r>
              <w:rPr>
                <w:rFonts w:asciiTheme="majorHAnsi" w:hAnsiTheme="majorHAnsi" w:cstheme="majorHAnsi"/>
                <w:b/>
                <w:sz w:val="20"/>
                <w:szCs w:val="20"/>
                <w:lang w:val="en-US"/>
              </w:rPr>
              <w:t>0,5 MG/ML,</w:t>
            </w:r>
            <w:r>
              <w:rPr>
                <w:rFonts w:asciiTheme="majorHAnsi" w:hAnsiTheme="majorHAnsi" w:cstheme="majorHAnsi"/>
                <w:sz w:val="20"/>
                <w:szCs w:val="20"/>
                <w:lang w:val="en-US"/>
              </w:rPr>
              <w:t>FORMA FARMACÊUTICA SOLUÇÃO INJETAVEL,FORMA DE APRESENTAÇÃO AMPOLA,VIA DE ADMINISTRAÇÃO PARENTERAL</w:t>
            </w:r>
          </w:p>
        </w:tc>
        <w:tc>
          <w:tcPr>
            <w:tcW w:w="992" w:type="dxa"/>
            <w:tcBorders>
              <w:top w:val="single" w:color="CCCCCC" w:sz="8" w:space="0"/>
              <w:left w:val="single" w:color="CCCCCC" w:sz="8" w:space="0"/>
              <w:bottom w:val="single" w:color="000000" w:sz="8" w:space="0"/>
              <w:right w:val="single" w:color="000000" w:sz="8" w:space="0"/>
            </w:tcBorders>
            <w:shd w:val="clear" w:color="auto" w:fill="FFFFFF"/>
            <w:tcMar>
              <w:top w:w="0" w:type="dxa"/>
              <w:left w:w="40" w:type="dxa"/>
              <w:bottom w:w="0" w:type="dxa"/>
              <w:right w:w="40" w:type="dxa"/>
            </w:tcMar>
            <w:vAlign w:val="center"/>
          </w:tcPr>
          <w:p w14:paraId="7B82CB85">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AMP 1ML</w:t>
            </w:r>
          </w:p>
        </w:tc>
        <w:tc>
          <w:tcPr>
            <w:tcW w:w="851" w:type="dxa"/>
            <w:tcBorders>
              <w:top w:val="single" w:color="000000" w:sz="4" w:space="0"/>
              <w:left w:val="single" w:color="000000" w:sz="4" w:space="0"/>
              <w:bottom w:val="single" w:color="000000" w:sz="4" w:space="0"/>
              <w:right w:val="single" w:color="000000" w:sz="4" w:space="0"/>
            </w:tcBorders>
            <w:vAlign w:val="center"/>
          </w:tcPr>
          <w:p w14:paraId="05BB121E">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8505</w:t>
            </w:r>
          </w:p>
        </w:tc>
        <w:tc>
          <w:tcPr>
            <w:tcW w:w="1276" w:type="dxa"/>
            <w:tcBorders>
              <w:top w:val="single" w:color="000000" w:sz="4" w:space="0"/>
              <w:bottom w:val="single" w:color="000000" w:sz="4" w:space="0"/>
              <w:right w:val="single" w:color="000000" w:sz="4" w:space="0"/>
            </w:tcBorders>
            <w:shd w:val="clear" w:color="auto" w:fill="auto"/>
            <w:vAlign w:val="center"/>
          </w:tcPr>
          <w:p w14:paraId="69CF4EB4">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R$ 1,8900                  </w:t>
            </w:r>
          </w:p>
        </w:tc>
        <w:tc>
          <w:tcPr>
            <w:tcW w:w="992" w:type="dxa"/>
            <w:tcBorders>
              <w:top w:val="single" w:color="000000" w:sz="4" w:space="0"/>
              <w:bottom w:val="single" w:color="000000" w:sz="4" w:space="0"/>
              <w:right w:val="single" w:color="000000" w:sz="4" w:space="0"/>
            </w:tcBorders>
            <w:shd w:val="clear" w:color="auto" w:fill="auto"/>
            <w:vAlign w:val="center"/>
          </w:tcPr>
          <w:p w14:paraId="7BE3CB48">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w:t>
            </w:r>
          </w:p>
          <w:p w14:paraId="77C09E23">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16.074,4500               </w:t>
            </w:r>
          </w:p>
        </w:tc>
      </w:tr>
      <w:tr w14:paraId="47EE2920">
        <w:tblPrEx>
          <w:tblCellMar>
            <w:top w:w="0" w:type="dxa"/>
            <w:left w:w="115" w:type="dxa"/>
            <w:bottom w:w="0" w:type="dxa"/>
            <w:right w:w="115" w:type="dxa"/>
          </w:tblCellMar>
        </w:tblPrEx>
        <w:trPr>
          <w:trHeight w:val="477" w:hRule="atLeast"/>
        </w:trPr>
        <w:tc>
          <w:tcPr>
            <w:tcW w:w="842" w:type="dxa"/>
            <w:tcBorders>
              <w:top w:val="single" w:color="000000" w:sz="4" w:space="0"/>
              <w:left w:val="single" w:color="000000" w:sz="4" w:space="0"/>
              <w:bottom w:val="single" w:color="auto" w:sz="4" w:space="0"/>
              <w:right w:val="single" w:color="000000" w:sz="4" w:space="0"/>
            </w:tcBorders>
            <w:shd w:val="clear" w:color="auto" w:fill="auto"/>
            <w:vAlign w:val="center"/>
          </w:tcPr>
          <w:p w14:paraId="205DCFD3">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11</w:t>
            </w:r>
          </w:p>
        </w:tc>
        <w:tc>
          <w:tcPr>
            <w:tcW w:w="1256" w:type="dxa"/>
            <w:tcBorders>
              <w:top w:val="single" w:color="CCCCCC" w:sz="8" w:space="0"/>
              <w:left w:val="single" w:color="000000" w:sz="8" w:space="0"/>
              <w:bottom w:val="single" w:color="auto" w:sz="4" w:space="0"/>
              <w:right w:val="single" w:color="000000" w:sz="8" w:space="0"/>
            </w:tcBorders>
            <w:shd w:val="clear" w:color="auto" w:fill="FFFFFF"/>
            <w:tcMar>
              <w:top w:w="0" w:type="dxa"/>
              <w:left w:w="40" w:type="dxa"/>
              <w:bottom w:w="0" w:type="dxa"/>
              <w:right w:w="40" w:type="dxa"/>
            </w:tcMar>
            <w:vAlign w:val="center"/>
          </w:tcPr>
          <w:p w14:paraId="582A38B0">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3088731</w:t>
            </w:r>
          </w:p>
        </w:tc>
        <w:tc>
          <w:tcPr>
            <w:tcW w:w="1105" w:type="dxa"/>
            <w:tcBorders>
              <w:top w:val="single" w:color="CCCCCC" w:sz="8" w:space="0"/>
              <w:left w:val="single" w:color="000000" w:sz="8" w:space="0"/>
              <w:bottom w:val="single" w:color="auto" w:sz="4" w:space="0"/>
              <w:right w:val="single" w:color="auto" w:sz="4" w:space="0"/>
            </w:tcBorders>
            <w:shd w:val="clear" w:color="auto" w:fill="FFFFFF"/>
            <w:tcMar>
              <w:top w:w="0" w:type="dxa"/>
              <w:left w:w="40" w:type="dxa"/>
              <w:bottom w:w="0" w:type="dxa"/>
              <w:right w:w="40" w:type="dxa"/>
            </w:tcMar>
            <w:vAlign w:val="center"/>
          </w:tcPr>
          <w:p w14:paraId="7419125D">
            <w:pPr>
              <w:widowControl w:val="0"/>
              <w:autoSpaceDE w:val="0"/>
              <w:autoSpaceDN w:val="0"/>
              <w:spacing w:after="0" w:line="276"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268513</w:t>
            </w:r>
          </w:p>
        </w:tc>
        <w:tc>
          <w:tcPr>
            <w:tcW w:w="2609" w:type="dxa"/>
            <w:tcBorders>
              <w:top w:val="single" w:color="auto" w:sz="4" w:space="0"/>
              <w:left w:val="single" w:color="auto" w:sz="4" w:space="0"/>
              <w:bottom w:val="single" w:color="auto" w:sz="4" w:space="0"/>
              <w:right w:val="single" w:color="auto" w:sz="4" w:space="0"/>
            </w:tcBorders>
            <w:shd w:val="clear" w:color="auto" w:fill="FFFFFF"/>
            <w:tcMar>
              <w:top w:w="0" w:type="dxa"/>
              <w:left w:w="40" w:type="dxa"/>
              <w:bottom w:w="0" w:type="dxa"/>
              <w:right w:w="40" w:type="dxa"/>
            </w:tcMar>
            <w:vAlign w:val="center"/>
          </w:tcPr>
          <w:p w14:paraId="2637D68A">
            <w:pPr>
              <w:widowControl w:val="0"/>
              <w:autoSpaceDE w:val="0"/>
              <w:autoSpaceDN w:val="0"/>
              <w:spacing w:after="0" w:line="276" w:lineRule="auto"/>
              <w:rPr>
                <w:rFonts w:asciiTheme="majorHAnsi" w:hAnsiTheme="majorHAnsi" w:cstheme="majorHAnsi"/>
                <w:sz w:val="20"/>
                <w:szCs w:val="20"/>
                <w:lang w:val="en-US"/>
              </w:rPr>
            </w:pPr>
            <w:r>
              <w:rPr>
                <w:rFonts w:asciiTheme="majorHAnsi" w:hAnsiTheme="majorHAnsi" w:cstheme="majorHAnsi"/>
                <w:b/>
                <w:sz w:val="20"/>
                <w:szCs w:val="20"/>
                <w:lang w:val="en-US"/>
              </w:rPr>
              <w:t xml:space="preserve">OXACILINA SÓDICA </w:t>
            </w:r>
            <w:r>
              <w:rPr>
                <w:rFonts w:asciiTheme="majorHAnsi" w:hAnsiTheme="majorHAnsi" w:cstheme="majorHAnsi"/>
                <w:sz w:val="20"/>
                <w:szCs w:val="20"/>
                <w:lang w:val="en-US"/>
              </w:rPr>
              <w:t xml:space="preserve">- CONCENTRAÇÃO/DOSAGEM </w:t>
            </w:r>
            <w:r>
              <w:rPr>
                <w:rFonts w:asciiTheme="majorHAnsi" w:hAnsiTheme="majorHAnsi" w:cstheme="majorHAnsi"/>
                <w:b/>
                <w:sz w:val="20"/>
                <w:szCs w:val="20"/>
                <w:lang w:val="en-US"/>
              </w:rPr>
              <w:t>500 MG,</w:t>
            </w:r>
            <w:r>
              <w:rPr>
                <w:rFonts w:asciiTheme="majorHAnsi" w:hAnsiTheme="majorHAnsi" w:cstheme="majorHAnsi"/>
                <w:sz w:val="20"/>
                <w:szCs w:val="20"/>
                <w:lang w:val="en-US"/>
              </w:rPr>
              <w:t>FORMA FARMACEUTICA PÓ PARA SOLUÇÃO INJETÁVEL,FORMA DE APRESENTAÇÃO FRASCO-AMPOLA,VIA DE ADMINISTRAÇÃO PARENTERAL</w:t>
            </w:r>
          </w:p>
        </w:tc>
        <w:tc>
          <w:tcPr>
            <w:tcW w:w="992" w:type="dxa"/>
            <w:tcBorders>
              <w:top w:val="single" w:color="CCCCCC" w:sz="8" w:space="0"/>
              <w:left w:val="single" w:color="auto" w:sz="4" w:space="0"/>
              <w:bottom w:val="single" w:color="auto" w:sz="4" w:space="0"/>
              <w:right w:val="single" w:color="000000" w:sz="8" w:space="0"/>
            </w:tcBorders>
            <w:shd w:val="clear" w:color="auto" w:fill="FFFFFF"/>
            <w:tcMar>
              <w:top w:w="0" w:type="dxa"/>
              <w:left w:w="40" w:type="dxa"/>
              <w:bottom w:w="0" w:type="dxa"/>
              <w:right w:w="40" w:type="dxa"/>
            </w:tcMar>
            <w:vAlign w:val="center"/>
          </w:tcPr>
          <w:p w14:paraId="46D6CD95">
            <w:pPr>
              <w:widowControl w:val="0"/>
              <w:autoSpaceDE w:val="0"/>
              <w:autoSpaceDN w:val="0"/>
              <w:spacing w:after="0" w:line="276" w:lineRule="auto"/>
              <w:jc w:val="center"/>
              <w:rPr>
                <w:rFonts w:eastAsia="Arial" w:asciiTheme="majorHAnsi" w:hAnsiTheme="majorHAnsi" w:cstheme="majorHAnsi"/>
                <w:sz w:val="20"/>
                <w:szCs w:val="20"/>
                <w:lang w:val="en-US"/>
              </w:rPr>
            </w:pPr>
            <w:r>
              <w:rPr>
                <w:rFonts w:asciiTheme="majorHAnsi" w:hAnsiTheme="majorHAnsi" w:cstheme="majorHAnsi"/>
                <w:sz w:val="20"/>
                <w:szCs w:val="20"/>
                <w:lang w:val="en-US"/>
              </w:rPr>
              <w:t>FA</w:t>
            </w:r>
          </w:p>
        </w:tc>
        <w:tc>
          <w:tcPr>
            <w:tcW w:w="851" w:type="dxa"/>
            <w:tcBorders>
              <w:top w:val="single" w:color="000000" w:sz="4" w:space="0"/>
              <w:left w:val="single" w:color="000000" w:sz="4" w:space="0"/>
              <w:bottom w:val="single" w:color="auto" w:sz="4" w:space="0"/>
              <w:right w:val="single" w:color="000000" w:sz="4" w:space="0"/>
            </w:tcBorders>
            <w:vAlign w:val="center"/>
          </w:tcPr>
          <w:p w14:paraId="34750E08">
            <w:pPr>
              <w:widowControl w:val="0"/>
              <w:tabs>
                <w:tab w:val="left" w:pos="567"/>
                <w:tab w:val="left" w:pos="993"/>
              </w:tabs>
              <w:autoSpaceDE w:val="0"/>
              <w:autoSpaceDN w:val="0"/>
              <w:spacing w:before="120"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36899</w:t>
            </w:r>
          </w:p>
        </w:tc>
        <w:tc>
          <w:tcPr>
            <w:tcW w:w="1276" w:type="dxa"/>
            <w:tcBorders>
              <w:top w:val="single" w:color="000000" w:sz="4" w:space="0"/>
              <w:bottom w:val="single" w:color="auto" w:sz="4" w:space="0"/>
              <w:right w:val="single" w:color="000000" w:sz="4" w:space="0"/>
            </w:tcBorders>
            <w:shd w:val="clear" w:color="auto" w:fill="auto"/>
            <w:vAlign w:val="center"/>
          </w:tcPr>
          <w:p w14:paraId="5B8EE401">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R$ 4,3500                 </w:t>
            </w:r>
          </w:p>
        </w:tc>
        <w:tc>
          <w:tcPr>
            <w:tcW w:w="992" w:type="dxa"/>
            <w:tcBorders>
              <w:top w:val="single" w:color="000000" w:sz="4" w:space="0"/>
              <w:bottom w:val="single" w:color="auto" w:sz="4" w:space="0"/>
              <w:right w:val="single" w:color="000000" w:sz="4" w:space="0"/>
            </w:tcBorders>
            <w:shd w:val="clear" w:color="auto" w:fill="auto"/>
            <w:vAlign w:val="center"/>
          </w:tcPr>
          <w:p w14:paraId="6F2D34C9">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 R$</w:t>
            </w:r>
          </w:p>
          <w:p w14:paraId="0CABACA4">
            <w:pPr>
              <w:widowControl w:val="0"/>
              <w:autoSpaceDE w:val="0"/>
              <w:autoSpaceDN w:val="0"/>
              <w:spacing w:after="0" w:line="240" w:lineRule="auto"/>
              <w:rPr>
                <w:rFonts w:eastAsia="Times New Roman" w:asciiTheme="majorHAnsi" w:hAnsiTheme="majorHAnsi" w:cstheme="majorHAnsi"/>
                <w:sz w:val="20"/>
                <w:szCs w:val="20"/>
                <w:lang w:val="en-US"/>
              </w:rPr>
            </w:pPr>
            <w:r>
              <w:rPr>
                <w:rFonts w:eastAsia="Times New Roman" w:asciiTheme="majorHAnsi" w:hAnsiTheme="majorHAnsi" w:cstheme="majorHAnsi"/>
                <w:sz w:val="20"/>
                <w:szCs w:val="20"/>
                <w:lang w:val="en-US"/>
              </w:rPr>
              <w:t xml:space="preserve">160.510,6500               </w:t>
            </w:r>
          </w:p>
        </w:tc>
      </w:tr>
      <w:tr w14:paraId="64D5D531">
        <w:tblPrEx>
          <w:tblCellMar>
            <w:top w:w="0" w:type="dxa"/>
            <w:left w:w="115" w:type="dxa"/>
            <w:bottom w:w="0" w:type="dxa"/>
            <w:right w:w="115" w:type="dxa"/>
          </w:tblCellMar>
        </w:tblPrEx>
        <w:trPr>
          <w:trHeight w:val="742" w:hRule="atLeast"/>
        </w:trPr>
        <w:tc>
          <w:tcPr>
            <w:tcW w:w="8931" w:type="dxa"/>
            <w:gridSpan w:val="7"/>
            <w:tcBorders>
              <w:top w:val="single" w:color="000000" w:sz="4" w:space="0"/>
              <w:left w:val="single" w:color="000000" w:sz="4" w:space="0"/>
              <w:bottom w:val="single" w:color="auto" w:sz="4" w:space="0"/>
              <w:right w:val="single" w:color="000000" w:sz="4" w:space="0"/>
            </w:tcBorders>
            <w:shd w:val="clear" w:color="auto" w:fill="8EAADB" w:themeFill="accent1" w:themeFillTint="99"/>
            <w:vAlign w:val="center"/>
          </w:tcPr>
          <w:p w14:paraId="0ADD2881">
            <w:pPr>
              <w:widowControl w:val="0"/>
              <w:autoSpaceDE w:val="0"/>
              <w:autoSpaceDN w:val="0"/>
              <w:spacing w:after="0" w:line="240" w:lineRule="auto"/>
              <w:jc w:val="center"/>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VALOR GLOBAL</w:t>
            </w:r>
          </w:p>
        </w:tc>
        <w:tc>
          <w:tcPr>
            <w:tcW w:w="992" w:type="dxa"/>
            <w:tcBorders>
              <w:top w:val="single" w:color="000000" w:sz="4" w:space="0"/>
              <w:bottom w:val="single" w:color="auto" w:sz="4" w:space="0"/>
              <w:right w:val="single" w:color="000000" w:sz="4" w:space="0"/>
            </w:tcBorders>
            <w:shd w:val="clear" w:color="auto" w:fill="8EAADB" w:themeFill="accent1" w:themeFillTint="99"/>
            <w:vAlign w:val="center"/>
          </w:tcPr>
          <w:p w14:paraId="69FF0B2F">
            <w:pPr>
              <w:widowControl w:val="0"/>
              <w:autoSpaceDE w:val="0"/>
              <w:autoSpaceDN w:val="0"/>
              <w:spacing w:after="0" w:line="240" w:lineRule="auto"/>
              <w:rPr>
                <w:rFonts w:eastAsia="Times New Roman" w:asciiTheme="majorHAnsi" w:hAnsiTheme="majorHAnsi" w:cstheme="majorHAnsi"/>
                <w:b/>
                <w:sz w:val="20"/>
                <w:szCs w:val="20"/>
                <w:lang w:val="en-US"/>
              </w:rPr>
            </w:pPr>
            <w:r>
              <w:rPr>
                <w:rFonts w:eastAsia="Times New Roman" w:asciiTheme="majorHAnsi" w:hAnsiTheme="majorHAnsi" w:cstheme="majorHAnsi"/>
                <w:b/>
                <w:sz w:val="20"/>
                <w:szCs w:val="20"/>
                <w:lang w:val="en-US"/>
              </w:rPr>
              <w:t>R$ 867.230,0300</w:t>
            </w:r>
          </w:p>
        </w:tc>
      </w:tr>
    </w:tbl>
    <w:p w14:paraId="256576FB">
      <w:pPr>
        <w:rPr>
          <w:rFonts w:eastAsia="Times New Roman" w:asciiTheme="majorHAnsi" w:hAnsiTheme="majorHAnsi" w:cstheme="majorHAnsi"/>
          <w:sz w:val="20"/>
          <w:szCs w:val="20"/>
        </w:rPr>
      </w:pPr>
    </w:p>
    <w:sectPr>
      <w:headerReference r:id="rId5" w:type="default"/>
      <w:footerReference r:id="rId6" w:type="default"/>
      <w:pgSz w:w="11906" w:h="16838"/>
      <w:pgMar w:top="1843" w:right="851" w:bottom="1418" w:left="1134" w:header="425" w:footer="465"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Lucida Grande">
    <w:altName w:val="Courier New"/>
    <w:panose1 w:val="00000000000000000000"/>
    <w:charset w:val="00"/>
    <w:family w:val="roman"/>
    <w:pitch w:val="default"/>
    <w:sig w:usb0="00000000" w:usb1="00000000" w:usb2="00000000" w:usb3="00000000" w:csb0="00000000" w:csb1="00000000"/>
  </w:font>
  <w:font w:name="Trebuchet MS">
    <w:panose1 w:val="020B0603020202020204"/>
    <w:charset w:val="00"/>
    <w:family w:val="swiss"/>
    <w:pitch w:val="default"/>
    <w:sig w:usb0="00000687" w:usb1="00000000" w:usb2="00000000" w:usb3="00000000" w:csb0="2000009F" w:csb1="00000000"/>
  </w:font>
  <w:font w:name="Franklin Gothic Book">
    <w:altName w:val="Miriam Mono CLM"/>
    <w:panose1 w:val="020B0503020102020204"/>
    <w:charset w:val="00"/>
    <w:family w:val="swiss"/>
    <w:pitch w:val="default"/>
    <w:sig w:usb0="00000000" w:usb1="00000000" w:usb2="00000000" w:usb3="00000000" w:csb0="0000009F" w:csb1="00000000"/>
  </w:font>
  <w:font w:name="Libre Franklin">
    <w:altName w:val="Times New Roman"/>
    <w:panose1 w:val="00000000000000000000"/>
    <w:charset w:val="00"/>
    <w:family w:val="roman"/>
    <w:pitch w:val="default"/>
    <w:sig w:usb0="00000000" w:usb1="00000000" w:usb2="00000000" w:usb3="00000000" w:csb0="00000000" w:csb1="00000000"/>
  </w:font>
  <w:font w:name="Franklin Gothic Book;Corbel">
    <w:altName w:val="Liberation Mono"/>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Carlito">
    <w:panose1 w:val="020F0502020204030204"/>
    <w:charset w:val="00"/>
    <w:family w:val="roman"/>
    <w:pitch w:val="default"/>
    <w:sig w:usb0="E10002FF" w:usb1="5000ECFF" w:usb2="00000009" w:usb3="00000000" w:csb0="2000019F" w:csb1="00000000"/>
  </w:font>
  <w:font w:name="Carlito-Bold">
    <w:altName w:val="Liberation Mono"/>
    <w:panose1 w:val="00000000000000000000"/>
    <w:charset w:val="00"/>
    <w:family w:val="roman"/>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32D99">
    <w:pPr>
      <w:pBdr>
        <w:top w:val="single" w:color="1C3B77" w:sz="12" w:space="1"/>
      </w:pBdr>
      <w:spacing w:after="0"/>
      <w:jc w:val="center"/>
      <w:rPr>
        <w:rFonts w:ascii="Arial" w:hAnsi="Arial" w:eastAsia="Arial" w:cs="Arial"/>
        <w:i/>
        <w:color w:val="1C3B77"/>
        <w:sz w:val="20"/>
        <w:szCs w:val="20"/>
      </w:rPr>
    </w:pPr>
    <w:bookmarkStart w:id="16" w:name="_heading=h.ao0o7wxrg7cn" w:colFirst="0" w:colLast="0"/>
    <w:bookmarkEnd w:id="16"/>
    <w:r>
      <w:rPr>
        <w:rFonts w:ascii="Arial" w:hAnsi="Arial" w:eastAsia="Arial" w:cs="Arial"/>
        <w:b/>
        <w:color w:val="1C3B77"/>
        <w:sz w:val="20"/>
        <w:szCs w:val="20"/>
      </w:rPr>
      <w:t>CENTRO UNIVERSITÁRIO INTEGRADO DE SAÚDE AMAURY DE MEDEIROS</w:t>
    </w:r>
  </w:p>
  <w:p w14:paraId="6D4AFBB4">
    <w:pPr>
      <w:spacing w:after="0"/>
      <w:jc w:val="center"/>
      <w:rPr>
        <w:rFonts w:ascii="Arial" w:hAnsi="Arial" w:eastAsia="Arial" w:cs="Arial"/>
        <w:i/>
        <w:color w:val="1C3B77"/>
      </w:rPr>
    </w:pPr>
    <w:r>
      <w:rPr>
        <w:rFonts w:ascii="Arial" w:hAnsi="Arial" w:eastAsia="Arial" w:cs="Arial"/>
        <w:color w:val="1C3B77"/>
        <w:sz w:val="16"/>
        <w:szCs w:val="16"/>
      </w:rPr>
      <w:t>Rua Visconde de Mamanguape, S/N - Encruzilhada, Recife – PE. CEP: 52.030-010</w:t>
    </w:r>
  </w:p>
  <w:p w14:paraId="6D758EC8">
    <w:pPr>
      <w:spacing w:after="0"/>
      <w:jc w:val="center"/>
      <w:rPr>
        <w:rFonts w:ascii="Arial" w:hAnsi="Arial" w:eastAsia="Arial" w:cs="Arial"/>
        <w:color w:val="1C3B77"/>
        <w:sz w:val="16"/>
        <w:szCs w:val="16"/>
      </w:rPr>
    </w:pPr>
    <w:r>
      <w:rPr>
        <w:rFonts w:ascii="Arial" w:hAnsi="Arial" w:eastAsia="Arial" w:cs="Arial"/>
        <w:color w:val="1C3B77"/>
        <w:sz w:val="16"/>
        <w:szCs w:val="16"/>
      </w:rPr>
      <w:t>Fone: (81) 3182-7701 | E-mail: diretoria.cisam@upe.br</w:t>
    </w:r>
  </w:p>
  <w:p w14:paraId="2EFFD545">
    <w:pPr>
      <w:spacing w:after="0"/>
      <w:jc w:val="center"/>
      <w:rPr>
        <w:rFonts w:ascii="Arial" w:hAnsi="Arial" w:eastAsia="Arial" w:cs="Arial"/>
        <w:i/>
        <w:color w:val="1C3B77"/>
      </w:rPr>
    </w:pPr>
    <w:r>
      <w:rPr>
        <w:rFonts w:ascii="Arial" w:hAnsi="Arial" w:eastAsia="Arial" w:cs="Arial"/>
        <w:color w:val="1C3B77"/>
        <w:sz w:val="16"/>
        <w:szCs w:val="16"/>
      </w:rPr>
      <w:t>CNPJ 11.022.597/0012-44</w:t>
    </w:r>
  </w:p>
  <w:p w14:paraId="692355EF">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240" w:lineRule="auto"/>
      <w:jc w:val="right"/>
      <w:rPr>
        <w:color w:val="000000"/>
        <w:sz w:val="16"/>
        <w:szCs w:val="16"/>
      </w:rPr>
    </w:pPr>
    <w:r>
      <w:rPr>
        <w:color w:val="000000"/>
        <w:sz w:val="16"/>
        <w:szCs w:val="16"/>
      </w:rPr>
      <w:fldChar w:fldCharType="begin"/>
    </w:r>
    <w:r>
      <w:rPr>
        <w:color w:val="000000"/>
        <w:sz w:val="16"/>
        <w:szCs w:val="16"/>
      </w:rPr>
      <w:instrText xml:space="preserve">PAGE</w:instrText>
    </w:r>
    <w:r>
      <w:rPr>
        <w:color w:val="000000"/>
        <w:sz w:val="16"/>
        <w:szCs w:val="16"/>
      </w:rPr>
      <w:fldChar w:fldCharType="separate"/>
    </w:r>
    <w:r>
      <w:rPr>
        <w:color w:val="000000"/>
        <w:sz w:val="16"/>
        <w:szCs w:val="16"/>
      </w:rPr>
      <w:t>25</w:t>
    </w:r>
    <w:r>
      <w:rPr>
        <w:color w:val="000000"/>
        <w:sz w:val="16"/>
        <w:szCs w:val="16"/>
      </w:rPr>
      <w:fldChar w:fldCharType="end"/>
    </w:r>
    <w:r>
      <w:rPr>
        <w:b/>
        <w:color w:val="000000"/>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line="259" w:lineRule="auto"/>
      </w:pPr>
      <w:r>
        <w:separator/>
      </w:r>
    </w:p>
  </w:footnote>
  <w:footnote w:type="continuationSeparator" w:id="5">
    <w:p>
      <w:pPr>
        <w:spacing w:before="0" w:after="0" w:line="259" w:lineRule="auto"/>
      </w:pPr>
      <w:r>
        <w:continuationSeparator/>
      </w:r>
    </w:p>
  </w:footnote>
  <w:footnote w:id="0">
    <w:p w14:paraId="161A3D73">
      <w:pPr>
        <w:pBdr>
          <w:top w:val="none" w:color="auto" w:sz="0" w:space="0"/>
          <w:left w:val="none" w:color="auto" w:sz="0" w:space="0"/>
          <w:bottom w:val="none" w:color="auto" w:sz="0" w:space="0"/>
          <w:right w:val="none" w:color="auto" w:sz="0" w:space="0"/>
          <w:between w:val="none" w:color="auto" w:sz="0" w:space="0"/>
        </w:pBdr>
        <w:tabs>
          <w:tab w:val="left" w:pos="0"/>
          <w:tab w:val="left" w:pos="142"/>
          <w:tab w:val="left" w:pos="284"/>
          <w:tab w:val="left" w:pos="567"/>
        </w:tabs>
        <w:spacing w:after="0" w:line="276" w:lineRule="auto"/>
        <w:jc w:val="both"/>
        <w:rPr>
          <w:rFonts w:ascii="Times New Roman" w:hAnsi="Times New Roman" w:eastAsia="Times New Roman" w:cs="Times New Roman"/>
          <w:color w:val="000000"/>
          <w:sz w:val="18"/>
          <w:szCs w:val="18"/>
        </w:rPr>
      </w:pPr>
      <w:r>
        <w:rPr>
          <w:vertAlign w:val="superscript"/>
        </w:rPr>
        <w:footnoteRef/>
      </w:r>
      <w:r>
        <w:rPr>
          <w:rFonts w:ascii="Times New Roman" w:hAnsi="Times New Roman" w:eastAsia="Times New Roman" w:cs="Times New Roman"/>
          <w:color w:val="000000"/>
          <w:sz w:val="18"/>
          <w:szCs w:val="18"/>
        </w:rPr>
        <w:t xml:space="preserve"> Quando o produto for detentor do benefício, a dedução do ICMS deve ser explícita na proposta de preço do licitante, que deve conter a alíquota incidente e a dedução do que seria devido, caso não houvesse o benefício, observando os Convênios CONFAZ nº 87/2002, 54/2009 ou outras normas que impliquem desoneração tributária.</w:t>
      </w:r>
    </w:p>
  </w:footnote>
  <w:footnote w:id="1">
    <w:p w14:paraId="07485ACD">
      <w:pPr>
        <w:pBdr>
          <w:top w:val="none" w:color="auto" w:sz="0" w:space="0"/>
          <w:left w:val="none" w:color="auto" w:sz="0" w:space="0"/>
          <w:bottom w:val="none" w:color="auto" w:sz="0" w:space="0"/>
          <w:right w:val="none" w:color="auto" w:sz="0" w:space="0"/>
          <w:between w:val="none" w:color="auto" w:sz="0" w:space="0"/>
        </w:pBdr>
        <w:tabs>
          <w:tab w:val="left" w:pos="0"/>
          <w:tab w:val="left" w:pos="142"/>
          <w:tab w:val="left" w:pos="284"/>
          <w:tab w:val="left" w:pos="567"/>
        </w:tabs>
        <w:spacing w:after="0" w:line="276" w:lineRule="auto"/>
        <w:jc w:val="both"/>
        <w:rPr>
          <w:rFonts w:ascii="Times New Roman" w:hAnsi="Times New Roman" w:eastAsia="Times New Roman" w:cs="Times New Roman"/>
          <w:color w:val="000000"/>
          <w:sz w:val="18"/>
          <w:szCs w:val="18"/>
        </w:rPr>
      </w:pPr>
      <w:r>
        <w:rPr>
          <w:vertAlign w:val="superscript"/>
        </w:rPr>
        <w:footnoteRef/>
      </w:r>
      <w:r>
        <w:rPr>
          <w:rFonts w:ascii="Times New Roman" w:hAnsi="Times New Roman" w:eastAsia="Times New Roman" w:cs="Times New Roman"/>
          <w:color w:val="000000"/>
          <w:sz w:val="18"/>
          <w:szCs w:val="18"/>
        </w:rPr>
        <w:t xml:space="preserve"> Em se tratando de produto elencado em convênios firmados no Conselho Nacional de Política Fazendária - CONFAZ, o preço total deverá ser informado sem a carga tributária do ICMS.</w:t>
      </w:r>
    </w:p>
    <w:p w14:paraId="2B0D2933">
      <w:pPr>
        <w:pBdr>
          <w:top w:val="none" w:color="auto" w:sz="0" w:space="0"/>
          <w:left w:val="none" w:color="auto" w:sz="0" w:space="0"/>
          <w:bottom w:val="none" w:color="auto" w:sz="0" w:space="0"/>
          <w:right w:val="none" w:color="auto" w:sz="0" w:space="0"/>
          <w:between w:val="none" w:color="auto" w:sz="0" w:space="0"/>
        </w:pBdr>
        <w:spacing w:after="0" w:line="240" w:lineRule="auto"/>
        <w:rPr>
          <w:rFonts w:ascii="Libre Franklin" w:hAnsi="Libre Franklin" w:eastAsia="Libre Franklin" w:cs="Libre Franklin"/>
          <w:color w:val="000000"/>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FBB3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rFonts w:ascii="Libre Franklin" w:hAnsi="Libre Franklin" w:eastAsia="Libre Franklin" w:cs="Libre Franklin"/>
        <w:color w:val="000000"/>
        <w:sz w:val="20"/>
        <w:szCs w:val="20"/>
      </w:rPr>
    </w:pPr>
  </w:p>
  <w:tbl>
    <w:tblPr>
      <w:tblStyle w:val="133"/>
      <w:tblW w:w="9771"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16"/>
      <w:gridCol w:w="5350"/>
      <w:gridCol w:w="2405"/>
    </w:tblGrid>
    <w:tr w14:paraId="5EDA2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2" w:hRule="atLeast"/>
      </w:trPr>
      <w:tc>
        <w:tcPr>
          <w:tcW w:w="2016" w:type="dxa"/>
          <w:vAlign w:val="bottom"/>
        </w:tcPr>
        <w:p w14:paraId="5E128406">
          <w:pPr>
            <w:widowControl/>
            <w:pBdr>
              <w:top w:val="none" w:color="auto" w:sz="0" w:space="0"/>
              <w:left w:val="none" w:color="auto" w:sz="0" w:space="0"/>
              <w:bottom w:val="none" w:color="auto" w:sz="0" w:space="0"/>
              <w:right w:val="none" w:color="auto" w:sz="0" w:space="0"/>
              <w:between w:val="none" w:color="auto" w:sz="0" w:space="0"/>
            </w:pBdr>
            <w:tabs>
              <w:tab w:val="center" w:pos="4252"/>
              <w:tab w:val="right" w:pos="8504"/>
            </w:tabs>
            <w:autoSpaceDE w:val="0"/>
            <w:autoSpaceDN w:val="0"/>
            <w:spacing w:after="0" w:line="240" w:lineRule="auto"/>
            <w:rPr>
              <w:rFonts w:ascii="Calibri" w:hAnsi="Calibri" w:eastAsia="Calibri" w:cs="Calibri"/>
              <w:color w:val="000000"/>
              <w:sz w:val="8"/>
              <w:szCs w:val="8"/>
              <w:lang w:val="en-US"/>
            </w:rPr>
          </w:pPr>
          <w:r>
            <w:rPr>
              <w:rFonts w:ascii="Times New Roman" w:hAnsi="Times New Roman" w:eastAsia="Times New Roman" w:cs="Times New Roman"/>
              <w:color w:val="000000"/>
              <w:sz w:val="8"/>
              <w:szCs w:val="8"/>
              <w:lang w:val="en-US"/>
            </w:rPr>
            <w:drawing>
              <wp:inline distT="0" distB="0" distL="0" distR="0">
                <wp:extent cx="1134745" cy="575945"/>
                <wp:effectExtent l="0" t="0" r="0" b="0"/>
                <wp:docPr id="961890863" name="image1.png" descr="Placa azul com letras brancas em fundo preto&#10;&#10;Descrição gerada automaticamente"/>
                <wp:cNvGraphicFramePr/>
                <a:graphic xmlns:a="http://schemas.openxmlformats.org/drawingml/2006/main">
                  <a:graphicData uri="http://schemas.openxmlformats.org/drawingml/2006/picture">
                    <pic:pic xmlns:pic="http://schemas.openxmlformats.org/drawingml/2006/picture">
                      <pic:nvPicPr>
                        <pic:cNvPr id="961890863" name="image1.png" descr="Placa azul com letras brancas em fundo preto&#10;&#10;Descrição gerada automaticamente"/>
                        <pic:cNvPicPr preferRelativeResize="0"/>
                      </pic:nvPicPr>
                      <pic:blipFill>
                        <a:blip r:embed="rId1"/>
                        <a:srcRect/>
                        <a:stretch>
                          <a:fillRect/>
                        </a:stretch>
                      </pic:blipFill>
                      <pic:spPr>
                        <a:xfrm>
                          <a:off x="0" y="0"/>
                          <a:ext cx="1135201" cy="576000"/>
                        </a:xfrm>
                        <a:prstGeom prst="rect">
                          <a:avLst/>
                        </a:prstGeom>
                      </pic:spPr>
                    </pic:pic>
                  </a:graphicData>
                </a:graphic>
              </wp:inline>
            </w:drawing>
          </w:r>
        </w:p>
      </w:tc>
      <w:tc>
        <w:tcPr>
          <w:tcW w:w="5350" w:type="dxa"/>
          <w:vAlign w:val="center"/>
        </w:tcPr>
        <w:p w14:paraId="340C81B5">
          <w:pPr>
            <w:widowControl/>
            <w:pBdr>
              <w:top w:val="none" w:color="auto" w:sz="0" w:space="0"/>
              <w:left w:val="none" w:color="auto" w:sz="0" w:space="0"/>
              <w:bottom w:val="none" w:color="auto" w:sz="0" w:space="0"/>
              <w:right w:val="none" w:color="auto" w:sz="0" w:space="0"/>
              <w:between w:val="none" w:color="auto" w:sz="0" w:space="0"/>
            </w:pBdr>
            <w:tabs>
              <w:tab w:val="center" w:pos="4252"/>
              <w:tab w:val="right" w:pos="8504"/>
            </w:tabs>
            <w:autoSpaceDE w:val="0"/>
            <w:autoSpaceDN w:val="0"/>
            <w:spacing w:after="0" w:line="240" w:lineRule="auto"/>
            <w:jc w:val="center"/>
            <w:rPr>
              <w:rFonts w:ascii="Arial" w:hAnsi="Arial" w:eastAsia="Arial" w:cs="Arial"/>
              <w:b/>
              <w:color w:val="1C3B77"/>
              <w:sz w:val="16"/>
              <w:szCs w:val="16"/>
              <w:lang w:val="en-US"/>
            </w:rPr>
          </w:pPr>
          <w:r>
            <w:rPr>
              <w:rFonts w:ascii="Arial" w:hAnsi="Arial" w:eastAsia="Arial" w:cs="Arial"/>
              <w:b/>
              <w:color w:val="1C3B77"/>
              <w:sz w:val="16"/>
              <w:szCs w:val="16"/>
              <w:lang w:val="en-US"/>
            </w:rPr>
            <w:t>Governo do Estado de Pernambuco</w:t>
          </w:r>
        </w:p>
        <w:p w14:paraId="0FBA8FA2">
          <w:pPr>
            <w:widowControl/>
            <w:pBdr>
              <w:top w:val="none" w:color="auto" w:sz="0" w:space="0"/>
              <w:left w:val="none" w:color="auto" w:sz="0" w:space="0"/>
              <w:bottom w:val="none" w:color="auto" w:sz="0" w:space="0"/>
              <w:right w:val="none" w:color="auto" w:sz="0" w:space="0"/>
              <w:between w:val="none" w:color="auto" w:sz="0" w:space="0"/>
            </w:pBdr>
            <w:tabs>
              <w:tab w:val="center" w:pos="4252"/>
              <w:tab w:val="right" w:pos="8504"/>
            </w:tabs>
            <w:autoSpaceDE w:val="0"/>
            <w:autoSpaceDN w:val="0"/>
            <w:spacing w:after="0" w:line="240" w:lineRule="auto"/>
            <w:jc w:val="center"/>
            <w:rPr>
              <w:rFonts w:ascii="Arial" w:hAnsi="Arial" w:eastAsia="Arial" w:cs="Arial"/>
              <w:color w:val="1C3B77"/>
              <w:sz w:val="16"/>
              <w:szCs w:val="16"/>
              <w:lang w:val="en-US"/>
            </w:rPr>
          </w:pPr>
          <w:r>
            <w:rPr>
              <w:rFonts w:ascii="Arial" w:hAnsi="Arial" w:eastAsia="Arial" w:cs="Arial"/>
              <w:color w:val="1C3B77"/>
              <w:sz w:val="16"/>
              <w:szCs w:val="16"/>
              <w:lang w:val="en-US"/>
            </w:rPr>
            <w:t>Secretaria de Ciência, Tecnologia e Meio Ambiente</w:t>
          </w:r>
        </w:p>
        <w:p w14:paraId="23B45ABC">
          <w:pPr>
            <w:widowControl/>
            <w:pBdr>
              <w:top w:val="none" w:color="auto" w:sz="0" w:space="0"/>
              <w:left w:val="none" w:color="auto" w:sz="0" w:space="0"/>
              <w:bottom w:val="none" w:color="auto" w:sz="0" w:space="0"/>
              <w:right w:val="none" w:color="auto" w:sz="0" w:space="0"/>
              <w:between w:val="none" w:color="auto" w:sz="0" w:space="0"/>
            </w:pBdr>
            <w:tabs>
              <w:tab w:val="center" w:pos="4252"/>
              <w:tab w:val="right" w:pos="8504"/>
            </w:tabs>
            <w:autoSpaceDE w:val="0"/>
            <w:autoSpaceDN w:val="0"/>
            <w:spacing w:after="0" w:line="240" w:lineRule="auto"/>
            <w:jc w:val="center"/>
            <w:rPr>
              <w:rFonts w:ascii="Arial" w:hAnsi="Arial" w:eastAsia="Arial" w:cs="Arial"/>
              <w:color w:val="1C3B77"/>
              <w:sz w:val="16"/>
              <w:szCs w:val="16"/>
              <w:lang w:val="en-US"/>
            </w:rPr>
          </w:pPr>
          <w:r>
            <w:rPr>
              <w:rFonts w:ascii="Arial" w:hAnsi="Arial" w:eastAsia="Arial" w:cs="Arial"/>
              <w:color w:val="1C3B77"/>
              <w:sz w:val="16"/>
              <w:szCs w:val="16"/>
              <w:lang w:val="en-US"/>
            </w:rPr>
            <w:t>Universidade de Pernambuco – UPE</w:t>
          </w:r>
        </w:p>
        <w:p w14:paraId="6FF5BB6B">
          <w:pPr>
            <w:widowControl/>
            <w:pBdr>
              <w:top w:val="none" w:color="auto" w:sz="0" w:space="0"/>
              <w:left w:val="none" w:color="auto" w:sz="0" w:space="0"/>
              <w:bottom w:val="none" w:color="auto" w:sz="0" w:space="0"/>
              <w:right w:val="none" w:color="auto" w:sz="0" w:space="0"/>
              <w:between w:val="none" w:color="auto" w:sz="0" w:space="0"/>
            </w:pBdr>
            <w:tabs>
              <w:tab w:val="center" w:pos="4252"/>
              <w:tab w:val="right" w:pos="8504"/>
            </w:tabs>
            <w:autoSpaceDE w:val="0"/>
            <w:autoSpaceDN w:val="0"/>
            <w:spacing w:after="0" w:line="240" w:lineRule="auto"/>
            <w:jc w:val="center"/>
            <w:rPr>
              <w:rFonts w:ascii="Arial" w:hAnsi="Arial" w:eastAsia="Arial" w:cs="Arial"/>
              <w:b/>
              <w:color w:val="1C3B77"/>
              <w:sz w:val="16"/>
              <w:szCs w:val="16"/>
              <w:lang w:val="en-US"/>
            </w:rPr>
          </w:pPr>
          <w:r>
            <w:rPr>
              <w:rFonts w:ascii="Arial" w:hAnsi="Arial" w:eastAsia="Arial" w:cs="Arial"/>
              <w:color w:val="1C3B77"/>
              <w:sz w:val="16"/>
              <w:szCs w:val="16"/>
              <w:lang w:val="en-US"/>
            </w:rPr>
            <w:t>Centro Universitário Integrado de Saúde Amaury de Medeiros - CISAM</w:t>
          </w:r>
        </w:p>
      </w:tc>
      <w:tc>
        <w:tcPr>
          <w:tcW w:w="2405" w:type="dxa"/>
          <w:vAlign w:val="bottom"/>
        </w:tcPr>
        <w:p w14:paraId="59049EB9">
          <w:pPr>
            <w:widowControl/>
            <w:pBdr>
              <w:top w:val="none" w:color="auto" w:sz="0" w:space="0"/>
              <w:left w:val="none" w:color="auto" w:sz="0" w:space="0"/>
              <w:bottom w:val="none" w:color="auto" w:sz="0" w:space="0"/>
              <w:right w:val="none" w:color="auto" w:sz="0" w:space="0"/>
              <w:between w:val="none" w:color="auto" w:sz="0" w:space="0"/>
            </w:pBdr>
            <w:tabs>
              <w:tab w:val="center" w:pos="4252"/>
              <w:tab w:val="right" w:pos="8504"/>
            </w:tabs>
            <w:autoSpaceDE w:val="0"/>
            <w:autoSpaceDN w:val="0"/>
            <w:spacing w:after="0" w:line="240" w:lineRule="auto"/>
            <w:jc w:val="right"/>
            <w:rPr>
              <w:rFonts w:ascii="Calibri" w:hAnsi="Calibri" w:eastAsia="Calibri" w:cs="Calibri"/>
              <w:color w:val="000000"/>
              <w:sz w:val="8"/>
              <w:szCs w:val="8"/>
              <w:lang w:val="en-US"/>
            </w:rPr>
          </w:pPr>
          <w:r>
            <w:rPr>
              <w:rFonts w:ascii="Times New Roman" w:hAnsi="Times New Roman" w:eastAsia="Times New Roman" w:cs="Times New Roman"/>
              <w:color w:val="000000"/>
              <w:sz w:val="8"/>
              <w:szCs w:val="8"/>
              <w:lang w:val="en-US"/>
            </w:rPr>
            <w:drawing>
              <wp:inline distT="0" distB="0" distL="0" distR="0">
                <wp:extent cx="1226185" cy="575945"/>
                <wp:effectExtent l="0" t="0" r="0" b="0"/>
                <wp:docPr id="961890864" name="image2.png"/>
                <wp:cNvGraphicFramePr/>
                <a:graphic xmlns:a="http://schemas.openxmlformats.org/drawingml/2006/main">
                  <a:graphicData uri="http://schemas.openxmlformats.org/drawingml/2006/picture">
                    <pic:pic xmlns:pic="http://schemas.openxmlformats.org/drawingml/2006/picture">
                      <pic:nvPicPr>
                        <pic:cNvPr id="961890864" name="image2.png"/>
                        <pic:cNvPicPr preferRelativeResize="0"/>
                      </pic:nvPicPr>
                      <pic:blipFill>
                        <a:blip r:embed="rId2"/>
                        <a:srcRect/>
                        <a:stretch>
                          <a:fillRect/>
                        </a:stretch>
                      </pic:blipFill>
                      <pic:spPr>
                        <a:xfrm>
                          <a:off x="0" y="0"/>
                          <a:ext cx="1226244" cy="576000"/>
                        </a:xfrm>
                        <a:prstGeom prst="rect">
                          <a:avLst/>
                        </a:prstGeom>
                      </pic:spPr>
                    </pic:pic>
                  </a:graphicData>
                </a:graphic>
              </wp:inline>
            </w:drawing>
          </w:r>
        </w:p>
      </w:tc>
    </w:tr>
  </w:tbl>
  <w:p w14:paraId="62809FBF">
    <w:pPr>
      <w:pBdr>
        <w:top w:val="none" w:color="auto" w:sz="0" w:space="0"/>
        <w:left w:val="none" w:color="auto" w:sz="0" w:space="0"/>
        <w:bottom w:val="single" w:color="1C3B77" w:sz="12" w:space="1"/>
        <w:right w:val="none" w:color="auto" w:sz="0" w:space="0"/>
        <w:between w:val="none" w:color="auto" w:sz="0" w:space="0"/>
      </w:pBdr>
      <w:tabs>
        <w:tab w:val="center" w:pos="4252"/>
        <w:tab w:val="right" w:pos="8504"/>
      </w:tabs>
      <w:spacing w:after="0" w:line="240" w:lineRule="auto"/>
      <w:rPr>
        <w:color w:val="000000"/>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BD1686"/>
    <w:multiLevelType w:val="multilevel"/>
    <w:tmpl w:val="16BD1686"/>
    <w:lvl w:ilvl="0" w:tentative="0">
      <w:start w:val="4"/>
      <w:numFmt w:val="decimal"/>
      <w:lvlText w:val="%1."/>
      <w:lvlJc w:val="left"/>
      <w:pPr>
        <w:ind w:left="450" w:hanging="450"/>
      </w:pPr>
      <w:rPr>
        <w:color w:val="000000"/>
      </w:rPr>
    </w:lvl>
    <w:lvl w:ilvl="1" w:tentative="0">
      <w:start w:val="2"/>
      <w:numFmt w:val="decimal"/>
      <w:lvlText w:val="%1.%2."/>
      <w:lvlJc w:val="left"/>
      <w:pPr>
        <w:ind w:left="379" w:hanging="450"/>
      </w:pPr>
      <w:rPr>
        <w:color w:val="000000"/>
      </w:rPr>
    </w:lvl>
    <w:lvl w:ilvl="2" w:tentative="0">
      <w:start w:val="2"/>
      <w:numFmt w:val="decimal"/>
      <w:lvlText w:val="%1.%2.%3."/>
      <w:lvlJc w:val="left"/>
      <w:pPr>
        <w:ind w:left="578" w:hanging="720"/>
      </w:pPr>
      <w:rPr>
        <w:rFonts w:ascii="Times New Roman" w:hAnsi="Times New Roman" w:eastAsia="Times New Roman" w:cs="Times New Roman"/>
        <w:b/>
        <w:color w:val="000000"/>
        <w:sz w:val="20"/>
        <w:szCs w:val="20"/>
      </w:rPr>
    </w:lvl>
    <w:lvl w:ilvl="3" w:tentative="0">
      <w:start w:val="1"/>
      <w:numFmt w:val="decimal"/>
      <w:lvlText w:val="%1.%2.%3.%4."/>
      <w:lvlJc w:val="left"/>
      <w:pPr>
        <w:ind w:left="507" w:hanging="720"/>
      </w:pPr>
      <w:rPr>
        <w:color w:val="000000"/>
      </w:rPr>
    </w:lvl>
    <w:lvl w:ilvl="4" w:tentative="0">
      <w:start w:val="1"/>
      <w:numFmt w:val="decimal"/>
      <w:lvlText w:val="%1.%2.%3.%4.%5."/>
      <w:lvlJc w:val="left"/>
      <w:pPr>
        <w:ind w:left="796" w:hanging="1080"/>
      </w:pPr>
      <w:rPr>
        <w:color w:val="000000"/>
      </w:rPr>
    </w:lvl>
    <w:lvl w:ilvl="5" w:tentative="0">
      <w:start w:val="1"/>
      <w:numFmt w:val="decimal"/>
      <w:lvlText w:val="%1.%2.%3.%4.%5.%6."/>
      <w:lvlJc w:val="left"/>
      <w:pPr>
        <w:ind w:left="725" w:hanging="1080"/>
      </w:pPr>
      <w:rPr>
        <w:color w:val="000000"/>
      </w:rPr>
    </w:lvl>
    <w:lvl w:ilvl="6" w:tentative="0">
      <w:start w:val="1"/>
      <w:numFmt w:val="decimal"/>
      <w:lvlText w:val="%1.%2.%3.%4.%5.%6.%7."/>
      <w:lvlJc w:val="left"/>
      <w:pPr>
        <w:ind w:left="654" w:hanging="1080"/>
      </w:pPr>
      <w:rPr>
        <w:color w:val="000000"/>
      </w:rPr>
    </w:lvl>
    <w:lvl w:ilvl="7" w:tentative="0">
      <w:start w:val="1"/>
      <w:numFmt w:val="decimal"/>
      <w:lvlText w:val="%1.%2.%3.%4.%5.%6.%7.%8."/>
      <w:lvlJc w:val="left"/>
      <w:pPr>
        <w:ind w:left="943" w:hanging="1440"/>
      </w:pPr>
      <w:rPr>
        <w:color w:val="000000"/>
      </w:rPr>
    </w:lvl>
    <w:lvl w:ilvl="8" w:tentative="0">
      <w:start w:val="1"/>
      <w:numFmt w:val="decimal"/>
      <w:lvlText w:val="%1.%2.%3.%4.%5.%6.%7.%8.%9."/>
      <w:lvlJc w:val="left"/>
      <w:pPr>
        <w:ind w:left="872" w:hanging="1440"/>
      </w:pPr>
      <w:rPr>
        <w:color w:val="000000"/>
      </w:rPr>
    </w:lvl>
  </w:abstractNum>
  <w:abstractNum w:abstractNumId="1">
    <w:nsid w:val="21EC03AF"/>
    <w:multiLevelType w:val="multilevel"/>
    <w:tmpl w:val="21EC03AF"/>
    <w:lvl w:ilvl="0" w:tentative="0">
      <w:start w:val="4"/>
      <w:numFmt w:val="decimal"/>
      <w:lvlText w:val="%1."/>
      <w:lvlJc w:val="left"/>
      <w:pPr>
        <w:ind w:left="360" w:hanging="360"/>
      </w:pPr>
    </w:lvl>
    <w:lvl w:ilvl="1" w:tentative="0">
      <w:start w:val="1"/>
      <w:numFmt w:val="decimal"/>
      <w:lvlText w:val="%1.%2."/>
      <w:lvlJc w:val="left"/>
      <w:pPr>
        <w:ind w:left="927" w:hanging="360"/>
      </w:pPr>
    </w:lvl>
    <w:lvl w:ilvl="2" w:tentative="0">
      <w:start w:val="1"/>
      <w:numFmt w:val="decimal"/>
      <w:lvlText w:val="%1.%2.%3."/>
      <w:lvlJc w:val="left"/>
      <w:pPr>
        <w:ind w:left="1854" w:hanging="720"/>
      </w:pPr>
      <w:rPr>
        <w:rFonts w:hint="default" w:eastAsia="Times New Roman" w:asciiTheme="majorHAnsi" w:hAnsiTheme="majorHAnsi" w:cstheme="majorHAnsi"/>
        <w:b/>
        <w:color w:val="000000"/>
        <w:sz w:val="20"/>
        <w:szCs w:val="20"/>
      </w:rPr>
    </w:lvl>
    <w:lvl w:ilvl="3" w:tentative="0">
      <w:start w:val="1"/>
      <w:numFmt w:val="decimal"/>
      <w:lvlText w:val="%1.%2.%3.%4."/>
      <w:lvlJc w:val="left"/>
      <w:pPr>
        <w:ind w:left="2421" w:hanging="720"/>
      </w:pPr>
      <w:rPr>
        <w:color w:val="0070C0"/>
      </w:rPr>
    </w:lvl>
    <w:lvl w:ilvl="4" w:tentative="0">
      <w:start w:val="1"/>
      <w:numFmt w:val="decimal"/>
      <w:lvlText w:val="%1.%2.%3.%4.%5."/>
      <w:lvlJc w:val="left"/>
      <w:pPr>
        <w:ind w:left="3348" w:hanging="1080"/>
      </w:pPr>
    </w:lvl>
    <w:lvl w:ilvl="5" w:tentative="0">
      <w:start w:val="1"/>
      <w:numFmt w:val="decimal"/>
      <w:lvlText w:val="%1.%2.%3.%4.%5.%6."/>
      <w:lvlJc w:val="left"/>
      <w:pPr>
        <w:ind w:left="3915" w:hanging="1080"/>
      </w:pPr>
    </w:lvl>
    <w:lvl w:ilvl="6" w:tentative="0">
      <w:start w:val="1"/>
      <w:numFmt w:val="decimal"/>
      <w:lvlText w:val="%1.%2.%3.%4.%5.%6.%7."/>
      <w:lvlJc w:val="left"/>
      <w:pPr>
        <w:ind w:left="4482" w:hanging="1080"/>
      </w:pPr>
    </w:lvl>
    <w:lvl w:ilvl="7" w:tentative="0">
      <w:start w:val="1"/>
      <w:numFmt w:val="decimal"/>
      <w:lvlText w:val="%1.%2.%3.%4.%5.%6.%7.%8."/>
      <w:lvlJc w:val="left"/>
      <w:pPr>
        <w:ind w:left="5409" w:hanging="1440"/>
      </w:pPr>
    </w:lvl>
    <w:lvl w:ilvl="8" w:tentative="0">
      <w:start w:val="1"/>
      <w:numFmt w:val="decimal"/>
      <w:lvlText w:val="%1.%2.%3.%4.%5.%6.%7.%8.%9."/>
      <w:lvlJc w:val="left"/>
      <w:pPr>
        <w:ind w:left="5976" w:hanging="1440"/>
      </w:pPr>
    </w:lvl>
  </w:abstractNum>
  <w:abstractNum w:abstractNumId="2">
    <w:nsid w:val="224A19DA"/>
    <w:multiLevelType w:val="multilevel"/>
    <w:tmpl w:val="224A19DA"/>
    <w:lvl w:ilvl="0" w:tentative="0">
      <w:start w:val="4"/>
      <w:numFmt w:val="decimal"/>
      <w:lvlText w:val="%1."/>
      <w:lvlJc w:val="left"/>
      <w:pPr>
        <w:ind w:left="360" w:hanging="360"/>
      </w:pPr>
    </w:lvl>
    <w:lvl w:ilvl="1" w:tentative="0">
      <w:start w:val="3"/>
      <w:numFmt w:val="decimal"/>
      <w:lvlText w:val="%1.%2."/>
      <w:lvlJc w:val="left"/>
      <w:pPr>
        <w:ind w:left="927" w:hanging="360"/>
      </w:pPr>
    </w:lvl>
    <w:lvl w:ilvl="2" w:tentative="0">
      <w:start w:val="1"/>
      <w:numFmt w:val="decimal"/>
      <w:lvlText w:val="%1.%2.%3."/>
      <w:lvlJc w:val="left"/>
      <w:pPr>
        <w:ind w:left="1854" w:hanging="720"/>
      </w:pPr>
      <w:rPr>
        <w:b/>
        <w:color w:val="000000"/>
        <w:sz w:val="20"/>
        <w:szCs w:val="20"/>
      </w:rPr>
    </w:lvl>
    <w:lvl w:ilvl="3" w:tentative="0">
      <w:start w:val="1"/>
      <w:numFmt w:val="decimal"/>
      <w:lvlText w:val="%1.%2.%3.%4."/>
      <w:lvlJc w:val="left"/>
      <w:pPr>
        <w:ind w:left="2421" w:hanging="720"/>
      </w:pPr>
      <w:rPr>
        <w:color w:val="0070C0"/>
      </w:rPr>
    </w:lvl>
    <w:lvl w:ilvl="4" w:tentative="0">
      <w:start w:val="1"/>
      <w:numFmt w:val="decimal"/>
      <w:lvlText w:val="%1.%2.%3.%4.%5."/>
      <w:lvlJc w:val="left"/>
      <w:pPr>
        <w:ind w:left="3348" w:hanging="1080"/>
      </w:pPr>
    </w:lvl>
    <w:lvl w:ilvl="5" w:tentative="0">
      <w:start w:val="1"/>
      <w:numFmt w:val="decimal"/>
      <w:lvlText w:val="%1.%2.%3.%4.%5.%6."/>
      <w:lvlJc w:val="left"/>
      <w:pPr>
        <w:ind w:left="3915" w:hanging="1080"/>
      </w:pPr>
    </w:lvl>
    <w:lvl w:ilvl="6" w:tentative="0">
      <w:start w:val="1"/>
      <w:numFmt w:val="decimal"/>
      <w:lvlText w:val="%1.%2.%3.%4.%5.%6.%7."/>
      <w:lvlJc w:val="left"/>
      <w:pPr>
        <w:ind w:left="4482" w:hanging="1080"/>
      </w:pPr>
    </w:lvl>
    <w:lvl w:ilvl="7" w:tentative="0">
      <w:start w:val="1"/>
      <w:numFmt w:val="decimal"/>
      <w:lvlText w:val="%1.%2.%3.%4.%5.%6.%7.%8."/>
      <w:lvlJc w:val="left"/>
      <w:pPr>
        <w:ind w:left="5409" w:hanging="1440"/>
      </w:pPr>
    </w:lvl>
    <w:lvl w:ilvl="8" w:tentative="0">
      <w:start w:val="1"/>
      <w:numFmt w:val="decimal"/>
      <w:lvlText w:val="%1.%2.%3.%4.%5.%6.%7.%8.%9."/>
      <w:lvlJc w:val="left"/>
      <w:pPr>
        <w:ind w:left="5976" w:hanging="1440"/>
      </w:pPr>
    </w:lvl>
  </w:abstractNum>
  <w:abstractNum w:abstractNumId="3">
    <w:nsid w:val="2A8330AC"/>
    <w:multiLevelType w:val="multilevel"/>
    <w:tmpl w:val="2A8330AC"/>
    <w:lvl w:ilvl="0" w:tentative="0">
      <w:start w:val="5"/>
      <w:numFmt w:val="decimal"/>
      <w:lvlText w:val="%1."/>
      <w:lvlJc w:val="left"/>
      <w:pPr>
        <w:ind w:left="360" w:hanging="360"/>
      </w:pPr>
    </w:lvl>
    <w:lvl w:ilvl="1" w:tentative="0">
      <w:start w:val="1"/>
      <w:numFmt w:val="decimal"/>
      <w:lvlText w:val="%1.%2."/>
      <w:lvlJc w:val="left"/>
      <w:pPr>
        <w:ind w:left="927" w:hanging="360"/>
      </w:pPr>
    </w:lvl>
    <w:lvl w:ilvl="2" w:tentative="0">
      <w:start w:val="3"/>
      <w:numFmt w:val="decimal"/>
      <w:lvlText w:val="%1.%2.%3."/>
      <w:lvlJc w:val="left"/>
      <w:pPr>
        <w:ind w:left="1854" w:hanging="720"/>
      </w:pPr>
      <w:rPr>
        <w:rFonts w:ascii="Calibri" w:hAnsi="Calibri" w:eastAsia="Calibri" w:cs="Calibri"/>
        <w:b w:val="0"/>
        <w:color w:val="000000"/>
        <w:sz w:val="20"/>
        <w:szCs w:val="20"/>
      </w:rPr>
    </w:lvl>
    <w:lvl w:ilvl="3" w:tentative="0">
      <w:start w:val="1"/>
      <w:numFmt w:val="decimal"/>
      <w:lvlText w:val="%1.%2.%3.%4."/>
      <w:lvlJc w:val="left"/>
      <w:pPr>
        <w:ind w:left="2421" w:hanging="720"/>
      </w:pPr>
      <w:rPr>
        <w:color w:val="0070C0"/>
      </w:rPr>
    </w:lvl>
    <w:lvl w:ilvl="4" w:tentative="0">
      <w:start w:val="1"/>
      <w:numFmt w:val="decimal"/>
      <w:lvlText w:val="%1.%2.%3.%4.%5."/>
      <w:lvlJc w:val="left"/>
      <w:pPr>
        <w:ind w:left="3348" w:hanging="1080"/>
      </w:pPr>
    </w:lvl>
    <w:lvl w:ilvl="5" w:tentative="0">
      <w:start w:val="1"/>
      <w:numFmt w:val="decimal"/>
      <w:lvlText w:val="%1.%2.%3.%4.%5.%6."/>
      <w:lvlJc w:val="left"/>
      <w:pPr>
        <w:ind w:left="3915" w:hanging="1080"/>
      </w:pPr>
    </w:lvl>
    <w:lvl w:ilvl="6" w:tentative="0">
      <w:start w:val="1"/>
      <w:numFmt w:val="decimal"/>
      <w:lvlText w:val="%1.%2.%3.%4.%5.%6.%7."/>
      <w:lvlJc w:val="left"/>
      <w:pPr>
        <w:ind w:left="4482" w:hanging="1080"/>
      </w:pPr>
    </w:lvl>
    <w:lvl w:ilvl="7" w:tentative="0">
      <w:start w:val="1"/>
      <w:numFmt w:val="decimal"/>
      <w:lvlText w:val="%1.%2.%3.%4.%5.%6.%7.%8."/>
      <w:lvlJc w:val="left"/>
      <w:pPr>
        <w:ind w:left="5409" w:hanging="1440"/>
      </w:pPr>
    </w:lvl>
    <w:lvl w:ilvl="8" w:tentative="0">
      <w:start w:val="1"/>
      <w:numFmt w:val="decimal"/>
      <w:lvlText w:val="%1.%2.%3.%4.%5.%6.%7.%8.%9."/>
      <w:lvlJc w:val="left"/>
      <w:pPr>
        <w:ind w:left="5976" w:hanging="1440"/>
      </w:pPr>
    </w:lvl>
  </w:abstractNum>
  <w:abstractNum w:abstractNumId="4">
    <w:nsid w:val="315551D1"/>
    <w:multiLevelType w:val="multilevel"/>
    <w:tmpl w:val="315551D1"/>
    <w:lvl w:ilvl="0" w:tentative="0">
      <w:start w:val="9"/>
      <w:numFmt w:val="decimal"/>
      <w:lvlText w:val="%1."/>
      <w:lvlJc w:val="left"/>
      <w:pPr>
        <w:ind w:left="450" w:hanging="450"/>
      </w:pPr>
      <w:rPr>
        <w:rFonts w:ascii="Calibri" w:hAnsi="Calibri" w:eastAsia="Calibri" w:cs="Calibri"/>
      </w:rPr>
    </w:lvl>
    <w:lvl w:ilvl="1" w:tentative="0">
      <w:start w:val="1"/>
      <w:numFmt w:val="decimal"/>
      <w:lvlText w:val="%1.%2."/>
      <w:lvlJc w:val="left"/>
      <w:pPr>
        <w:ind w:left="450" w:hanging="450"/>
      </w:pPr>
      <w:rPr>
        <w:rFonts w:ascii="Times New Roman" w:hAnsi="Times New Roman" w:eastAsia="Times New Roman" w:cs="Times New Roman"/>
      </w:rPr>
    </w:lvl>
    <w:lvl w:ilvl="2" w:tentative="0">
      <w:start w:val="1"/>
      <w:numFmt w:val="decimal"/>
      <w:lvlText w:val="%1.%2.%3."/>
      <w:lvlJc w:val="left"/>
      <w:pPr>
        <w:ind w:left="720" w:hanging="720"/>
      </w:pPr>
      <w:rPr>
        <w:rFonts w:ascii="Calibri" w:hAnsi="Calibri" w:eastAsia="Calibri" w:cs="Calibri"/>
        <w:b w:val="0"/>
        <w:color w:val="0070C0"/>
      </w:rPr>
    </w:lvl>
    <w:lvl w:ilvl="3" w:tentative="0">
      <w:start w:val="1"/>
      <w:numFmt w:val="decimal"/>
      <w:lvlText w:val="%1.%2.%3.%4."/>
      <w:lvlJc w:val="left"/>
      <w:pPr>
        <w:ind w:left="720" w:hanging="720"/>
      </w:pPr>
      <w:rPr>
        <w:rFonts w:ascii="Calibri" w:hAnsi="Calibri" w:eastAsia="Calibri" w:cs="Calibri"/>
      </w:rPr>
    </w:lvl>
    <w:lvl w:ilvl="4" w:tentative="0">
      <w:start w:val="1"/>
      <w:numFmt w:val="decimal"/>
      <w:lvlText w:val="%1.%2.%3.%4.%5."/>
      <w:lvlJc w:val="left"/>
      <w:pPr>
        <w:ind w:left="1080" w:hanging="1080"/>
      </w:pPr>
      <w:rPr>
        <w:rFonts w:ascii="Calibri" w:hAnsi="Calibri" w:eastAsia="Calibri" w:cs="Calibri"/>
      </w:rPr>
    </w:lvl>
    <w:lvl w:ilvl="5" w:tentative="0">
      <w:start w:val="1"/>
      <w:numFmt w:val="decimal"/>
      <w:lvlText w:val="%1.%2.%3.%4.%5.%6."/>
      <w:lvlJc w:val="left"/>
      <w:pPr>
        <w:ind w:left="1080" w:hanging="1080"/>
      </w:pPr>
      <w:rPr>
        <w:rFonts w:ascii="Calibri" w:hAnsi="Calibri" w:eastAsia="Calibri" w:cs="Calibri"/>
      </w:rPr>
    </w:lvl>
    <w:lvl w:ilvl="6" w:tentative="0">
      <w:start w:val="1"/>
      <w:numFmt w:val="decimal"/>
      <w:lvlText w:val="%1.%2.%3.%4.%5.%6.%7."/>
      <w:lvlJc w:val="left"/>
      <w:pPr>
        <w:ind w:left="1080" w:hanging="1080"/>
      </w:pPr>
      <w:rPr>
        <w:rFonts w:ascii="Calibri" w:hAnsi="Calibri" w:eastAsia="Calibri" w:cs="Calibri"/>
      </w:rPr>
    </w:lvl>
    <w:lvl w:ilvl="7" w:tentative="0">
      <w:start w:val="1"/>
      <w:numFmt w:val="decimal"/>
      <w:lvlText w:val="%1.%2.%3.%4.%5.%6.%7.%8."/>
      <w:lvlJc w:val="left"/>
      <w:pPr>
        <w:ind w:left="1440" w:hanging="1440"/>
      </w:pPr>
      <w:rPr>
        <w:rFonts w:ascii="Calibri" w:hAnsi="Calibri" w:eastAsia="Calibri" w:cs="Calibri"/>
      </w:rPr>
    </w:lvl>
    <w:lvl w:ilvl="8" w:tentative="0">
      <w:start w:val="1"/>
      <w:numFmt w:val="decimal"/>
      <w:lvlText w:val="%1.%2.%3.%4.%5.%6.%7.%8.%9."/>
      <w:lvlJc w:val="left"/>
      <w:pPr>
        <w:ind w:left="1440" w:hanging="1440"/>
      </w:pPr>
      <w:rPr>
        <w:rFonts w:ascii="Calibri" w:hAnsi="Calibri" w:eastAsia="Calibri" w:cs="Calibri"/>
      </w:rPr>
    </w:lvl>
  </w:abstractNum>
  <w:abstractNum w:abstractNumId="5">
    <w:nsid w:val="315D0AAF"/>
    <w:multiLevelType w:val="multilevel"/>
    <w:tmpl w:val="315D0AAF"/>
    <w:lvl w:ilvl="0" w:tentative="0">
      <w:start w:val="6"/>
      <w:numFmt w:val="decimal"/>
      <w:lvlText w:val="%1."/>
      <w:lvlJc w:val="left"/>
      <w:pPr>
        <w:ind w:left="2345" w:hanging="360"/>
      </w:pPr>
    </w:lvl>
    <w:lvl w:ilvl="1" w:tentative="0">
      <w:start w:val="1"/>
      <w:numFmt w:val="decimal"/>
      <w:lvlText w:val="%1.%2."/>
      <w:lvlJc w:val="left"/>
      <w:pPr>
        <w:ind w:left="360" w:hanging="360"/>
      </w:pPr>
      <w:rPr>
        <w:b/>
        <w:color w:val="000000"/>
      </w:rPr>
    </w:lvl>
    <w:lvl w:ilvl="2" w:tentative="0">
      <w:start w:val="1"/>
      <w:numFmt w:val="decimal"/>
      <w:lvlText w:val="%1.%2.%3."/>
      <w:lvlJc w:val="left"/>
      <w:pPr>
        <w:ind w:left="720" w:hanging="720"/>
      </w:pPr>
      <w:rPr>
        <w:b/>
        <w:color w:val="000000"/>
      </w:rPr>
    </w:lvl>
    <w:lvl w:ilvl="3" w:tentative="0">
      <w:start w:val="1"/>
      <w:numFmt w:val="decimal"/>
      <w:lvlText w:val="%1.%2.%3.%4."/>
      <w:lvlJc w:val="left"/>
      <w:pPr>
        <w:ind w:left="720" w:hanging="720"/>
      </w:pPr>
      <w:rPr>
        <w:color w:val="000000"/>
      </w:r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abstractNum w:abstractNumId="6">
    <w:nsid w:val="32575E8B"/>
    <w:multiLevelType w:val="multilevel"/>
    <w:tmpl w:val="32575E8B"/>
    <w:lvl w:ilvl="0" w:tentative="0">
      <w:start w:val="1"/>
      <w:numFmt w:val="lowerLetter"/>
      <w:lvlText w:val="%1)"/>
      <w:lvlJc w:val="left"/>
      <w:pPr>
        <w:ind w:left="720" w:hanging="360"/>
      </w:pPr>
    </w:lvl>
    <w:lvl w:ilvl="1" w:tentative="0">
      <w:start w:val="1"/>
      <w:numFmt w:val="upperRoman"/>
      <w:lvlText w:val="%2."/>
      <w:lvlJc w:val="left"/>
      <w:pPr>
        <w:ind w:left="1800" w:hanging="720"/>
      </w:pPr>
      <w:rPr>
        <w:b/>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373029F"/>
    <w:multiLevelType w:val="multilevel"/>
    <w:tmpl w:val="3373029F"/>
    <w:lvl w:ilvl="0" w:tentative="0">
      <w:start w:val="1"/>
      <w:numFmt w:val="decimal"/>
      <w:lvlText w:val="%1."/>
      <w:lvlJc w:val="left"/>
      <w:pPr>
        <w:ind w:left="360" w:hanging="360"/>
      </w:pPr>
      <w:rPr>
        <w:b/>
      </w:rPr>
    </w:lvl>
    <w:lvl w:ilvl="1" w:tentative="0">
      <w:start w:val="1"/>
      <w:numFmt w:val="decimal"/>
      <w:lvlText w:val="%1.%2."/>
      <w:lvlJc w:val="left"/>
      <w:pPr>
        <w:ind w:left="3621" w:hanging="360"/>
      </w:pPr>
      <w:rPr>
        <w:b/>
      </w:rPr>
    </w:lvl>
    <w:lvl w:ilvl="2" w:tentative="0">
      <w:start w:val="1"/>
      <w:numFmt w:val="decimal"/>
      <w:lvlText w:val="%1.%2.%3."/>
      <w:lvlJc w:val="left"/>
      <w:pPr>
        <w:ind w:left="7242" w:hanging="720"/>
      </w:pPr>
      <w:rPr>
        <w:b/>
      </w:rPr>
    </w:lvl>
    <w:lvl w:ilvl="3" w:tentative="0">
      <w:start w:val="1"/>
      <w:numFmt w:val="decimal"/>
      <w:lvlText w:val="%1.%2.%3.%4."/>
      <w:lvlJc w:val="left"/>
      <w:pPr>
        <w:ind w:left="10503" w:hanging="720"/>
      </w:pPr>
      <w:rPr>
        <w:b/>
      </w:rPr>
    </w:lvl>
    <w:lvl w:ilvl="4" w:tentative="0">
      <w:start w:val="1"/>
      <w:numFmt w:val="decimal"/>
      <w:lvlText w:val="%1.%2.%3.%4.%5."/>
      <w:lvlJc w:val="left"/>
      <w:pPr>
        <w:ind w:left="14124" w:hanging="1080"/>
      </w:pPr>
      <w:rPr>
        <w:b/>
      </w:rPr>
    </w:lvl>
    <w:lvl w:ilvl="5" w:tentative="0">
      <w:start w:val="1"/>
      <w:numFmt w:val="decimal"/>
      <w:lvlText w:val="%1.%2.%3.%4.%5.%6."/>
      <w:lvlJc w:val="left"/>
      <w:pPr>
        <w:ind w:left="17385" w:hanging="1080"/>
      </w:pPr>
      <w:rPr>
        <w:b/>
      </w:rPr>
    </w:lvl>
    <w:lvl w:ilvl="6" w:tentative="0">
      <w:start w:val="1"/>
      <w:numFmt w:val="decimal"/>
      <w:lvlText w:val="%1.%2.%3.%4.%5.%6.%7."/>
      <w:lvlJc w:val="left"/>
      <w:pPr>
        <w:ind w:left="21006" w:hanging="1440"/>
      </w:pPr>
      <w:rPr>
        <w:b/>
      </w:rPr>
    </w:lvl>
    <w:lvl w:ilvl="7" w:tentative="0">
      <w:start w:val="1"/>
      <w:numFmt w:val="decimal"/>
      <w:lvlText w:val="%1.%2.%3.%4.%5.%6.%7.%8."/>
      <w:lvlJc w:val="left"/>
      <w:pPr>
        <w:ind w:left="24267" w:hanging="1440"/>
      </w:pPr>
      <w:rPr>
        <w:b/>
      </w:rPr>
    </w:lvl>
    <w:lvl w:ilvl="8" w:tentative="0">
      <w:start w:val="1"/>
      <w:numFmt w:val="decimal"/>
      <w:lvlText w:val="%1.%2.%3.%4.%5.%6.%7.%8.%9."/>
      <w:lvlJc w:val="left"/>
      <w:pPr>
        <w:ind w:left="27888" w:hanging="1800"/>
      </w:pPr>
      <w:rPr>
        <w:b/>
      </w:rPr>
    </w:lvl>
  </w:abstractNum>
  <w:abstractNum w:abstractNumId="8">
    <w:nsid w:val="33E753DD"/>
    <w:multiLevelType w:val="multilevel"/>
    <w:tmpl w:val="33E753DD"/>
    <w:lvl w:ilvl="0" w:tentative="0">
      <w:start w:val="2"/>
      <w:numFmt w:val="decimal"/>
      <w:lvlText w:val="%1."/>
      <w:lvlJc w:val="left"/>
      <w:pPr>
        <w:ind w:left="6172" w:hanging="360"/>
      </w:pPr>
    </w:lvl>
    <w:lvl w:ilvl="1" w:tentative="0">
      <w:start w:val="2"/>
      <w:numFmt w:val="decimal"/>
      <w:lvlText w:val="%1.%2."/>
      <w:lvlJc w:val="left"/>
      <w:pPr>
        <w:ind w:left="1211" w:hanging="360"/>
      </w:pPr>
      <w:rPr>
        <w:rFonts w:hint="default" w:eastAsia="Times New Roman" w:asciiTheme="majorHAnsi" w:hAnsiTheme="majorHAnsi" w:cstheme="majorHAnsi"/>
        <w:b/>
      </w:rPr>
    </w:lvl>
    <w:lvl w:ilvl="2" w:tentative="0">
      <w:start w:val="1"/>
      <w:numFmt w:val="decimal"/>
      <w:lvlText w:val="%1.%2.%3."/>
      <w:lvlJc w:val="left"/>
      <w:pPr>
        <w:ind w:left="1004" w:hanging="720"/>
      </w:pPr>
      <w:rPr>
        <w:rFonts w:hint="default" w:eastAsia="Times New Roman" w:asciiTheme="majorHAnsi" w:hAnsiTheme="majorHAnsi" w:cstheme="majorHAnsi"/>
        <w:b/>
        <w:color w:val="000000"/>
      </w:rPr>
    </w:lvl>
    <w:lvl w:ilvl="3" w:tentative="0">
      <w:start w:val="1"/>
      <w:numFmt w:val="decimal"/>
      <w:lvlText w:val="%1.%2.%3.%4."/>
      <w:lvlJc w:val="left"/>
      <w:pPr>
        <w:ind w:left="3273" w:hanging="720"/>
      </w:pPr>
    </w:lvl>
    <w:lvl w:ilvl="4" w:tentative="0">
      <w:start w:val="1"/>
      <w:numFmt w:val="decimal"/>
      <w:lvlText w:val="%1.%2.%3.%4.%5."/>
      <w:lvlJc w:val="left"/>
      <w:pPr>
        <w:ind w:left="4484" w:hanging="1080"/>
      </w:pPr>
    </w:lvl>
    <w:lvl w:ilvl="5" w:tentative="0">
      <w:start w:val="1"/>
      <w:numFmt w:val="decimal"/>
      <w:lvlText w:val="%1.%2.%3.%4.%5.%6."/>
      <w:lvlJc w:val="left"/>
      <w:pPr>
        <w:ind w:left="5335" w:hanging="1080"/>
      </w:pPr>
    </w:lvl>
    <w:lvl w:ilvl="6" w:tentative="0">
      <w:start w:val="1"/>
      <w:numFmt w:val="decimal"/>
      <w:lvlText w:val="%1.%2.%3.%4.%5.%6.%7."/>
      <w:lvlJc w:val="left"/>
      <w:pPr>
        <w:ind w:left="6186" w:hanging="1080"/>
      </w:pPr>
    </w:lvl>
    <w:lvl w:ilvl="7" w:tentative="0">
      <w:start w:val="1"/>
      <w:numFmt w:val="decimal"/>
      <w:lvlText w:val="%1.%2.%3.%4.%5.%6.%7.%8."/>
      <w:lvlJc w:val="left"/>
      <w:pPr>
        <w:ind w:left="7397" w:hanging="1440"/>
      </w:pPr>
    </w:lvl>
    <w:lvl w:ilvl="8" w:tentative="0">
      <w:start w:val="1"/>
      <w:numFmt w:val="decimal"/>
      <w:lvlText w:val="%1.%2.%3.%4.%5.%6.%7.%8.%9."/>
      <w:lvlJc w:val="left"/>
      <w:pPr>
        <w:ind w:left="8248" w:hanging="1440"/>
      </w:pPr>
    </w:lvl>
  </w:abstractNum>
  <w:abstractNum w:abstractNumId="9">
    <w:nsid w:val="38D50A89"/>
    <w:multiLevelType w:val="multilevel"/>
    <w:tmpl w:val="38D50A8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B346703"/>
    <w:multiLevelType w:val="multilevel"/>
    <w:tmpl w:val="3B346703"/>
    <w:lvl w:ilvl="0" w:tentative="0">
      <w:start w:val="2"/>
      <w:numFmt w:val="decimal"/>
      <w:lvlText w:val="%1."/>
      <w:lvlJc w:val="left"/>
      <w:pPr>
        <w:ind w:left="360" w:hanging="360"/>
      </w:pPr>
    </w:lvl>
    <w:lvl w:ilvl="1" w:tentative="0">
      <w:start w:val="1"/>
      <w:numFmt w:val="decimal"/>
      <w:lvlText w:val="%1.%2."/>
      <w:lvlJc w:val="left"/>
      <w:pPr>
        <w:ind w:left="1211" w:hanging="360"/>
      </w:pPr>
      <w:rPr>
        <w:b/>
      </w:rPr>
    </w:lvl>
    <w:lvl w:ilvl="2" w:tentative="0">
      <w:start w:val="1"/>
      <w:numFmt w:val="decimal"/>
      <w:lvlText w:val="%1.%2.%3."/>
      <w:lvlJc w:val="left"/>
      <w:pPr>
        <w:ind w:left="2422" w:hanging="720"/>
      </w:pPr>
      <w:rPr>
        <w:rFonts w:hint="default" w:eastAsia="Times New Roman" w:asciiTheme="majorHAnsi" w:hAnsiTheme="majorHAnsi" w:cstheme="majorHAnsi"/>
        <w:b/>
        <w:color w:val="000000"/>
        <w:sz w:val="20"/>
        <w:szCs w:val="20"/>
      </w:rPr>
    </w:lvl>
    <w:lvl w:ilvl="3" w:tentative="0">
      <w:start w:val="1"/>
      <w:numFmt w:val="decimal"/>
      <w:lvlText w:val="%1.%2.%3.%4."/>
      <w:lvlJc w:val="left"/>
      <w:pPr>
        <w:ind w:left="3273" w:hanging="720"/>
      </w:pPr>
    </w:lvl>
    <w:lvl w:ilvl="4" w:tentative="0">
      <w:start w:val="1"/>
      <w:numFmt w:val="decimal"/>
      <w:lvlText w:val="%1.%2.%3.%4.%5."/>
      <w:lvlJc w:val="left"/>
      <w:pPr>
        <w:ind w:left="4484" w:hanging="1080"/>
      </w:pPr>
    </w:lvl>
    <w:lvl w:ilvl="5" w:tentative="0">
      <w:start w:val="1"/>
      <w:numFmt w:val="decimal"/>
      <w:lvlText w:val="%1.%2.%3.%4.%5.%6."/>
      <w:lvlJc w:val="left"/>
      <w:pPr>
        <w:ind w:left="5335" w:hanging="1080"/>
      </w:pPr>
    </w:lvl>
    <w:lvl w:ilvl="6" w:tentative="0">
      <w:start w:val="1"/>
      <w:numFmt w:val="decimal"/>
      <w:lvlText w:val="%1.%2.%3.%4.%5.%6.%7."/>
      <w:lvlJc w:val="left"/>
      <w:pPr>
        <w:ind w:left="6186" w:hanging="1080"/>
      </w:pPr>
    </w:lvl>
    <w:lvl w:ilvl="7" w:tentative="0">
      <w:start w:val="1"/>
      <w:numFmt w:val="decimal"/>
      <w:lvlText w:val="%1.%2.%3.%4.%5.%6.%7.%8."/>
      <w:lvlJc w:val="left"/>
      <w:pPr>
        <w:ind w:left="7397" w:hanging="1440"/>
      </w:pPr>
    </w:lvl>
    <w:lvl w:ilvl="8" w:tentative="0">
      <w:start w:val="1"/>
      <w:numFmt w:val="decimal"/>
      <w:lvlText w:val="%1.%2.%3.%4.%5.%6.%7.%8.%9."/>
      <w:lvlJc w:val="left"/>
      <w:pPr>
        <w:ind w:left="8248" w:hanging="1440"/>
      </w:pPr>
    </w:lvl>
  </w:abstractNum>
  <w:abstractNum w:abstractNumId="11">
    <w:nsid w:val="3FA00F1C"/>
    <w:multiLevelType w:val="multilevel"/>
    <w:tmpl w:val="3FA00F1C"/>
    <w:lvl w:ilvl="0" w:tentative="0">
      <w:start w:val="3"/>
      <w:numFmt w:val="decimal"/>
      <w:lvlText w:val="%1."/>
      <w:lvlJc w:val="left"/>
      <w:pPr>
        <w:ind w:left="360" w:hanging="360"/>
      </w:pPr>
    </w:lvl>
    <w:lvl w:ilvl="1" w:tentative="0">
      <w:start w:val="2"/>
      <w:numFmt w:val="decimal"/>
      <w:lvlText w:val="%1.%2.1."/>
      <w:lvlJc w:val="left"/>
      <w:pPr>
        <w:ind w:left="360" w:hanging="360"/>
      </w:pPr>
      <w:rPr>
        <w:rFonts w:hint="default" w:eastAsia="Times New Roman" w:asciiTheme="majorHAnsi" w:hAnsiTheme="majorHAnsi" w:cstheme="majorHAnsi"/>
        <w:b/>
        <w:color w:val="000000"/>
        <w:sz w:val="20"/>
        <w:szCs w:val="20"/>
      </w:rPr>
    </w:lvl>
    <w:lvl w:ilvl="2" w:tentative="0">
      <w:start w:val="1"/>
      <w:numFmt w:val="decimal"/>
      <w:lvlText w:val="%1.%2.%3."/>
      <w:lvlJc w:val="left"/>
      <w:pPr>
        <w:ind w:left="720" w:hanging="720"/>
      </w:pPr>
      <w:rPr>
        <w:rFonts w:ascii="Times New Roman" w:hAnsi="Times New Roman" w:eastAsia="Times New Roman" w:cs="Times New Roman"/>
        <w:b/>
        <w:color w:val="000000"/>
      </w:rPr>
    </w:lvl>
    <w:lvl w:ilvl="3" w:tentative="0">
      <w:start w:val="1"/>
      <w:numFmt w:val="decimal"/>
      <w:lvlText w:val="%1.%2.%3.%4."/>
      <w:lvlJc w:val="left"/>
      <w:pPr>
        <w:ind w:left="1146" w:hanging="720"/>
      </w:pPr>
      <w:rPr>
        <w:rFonts w:ascii="Calibri" w:hAnsi="Calibri" w:eastAsia="Calibri" w:cs="Calibri"/>
        <w:b/>
        <w:i w:val="0"/>
        <w:color w:val="000000"/>
      </w:r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440" w:hanging="1440"/>
      </w:pPr>
    </w:lvl>
    <w:lvl w:ilvl="7" w:tentative="0">
      <w:start w:val="1"/>
      <w:numFmt w:val="decimal"/>
      <w:lvlText w:val="%1.%2.%3.%4.%5.%6.%7.%8."/>
      <w:lvlJc w:val="left"/>
      <w:pPr>
        <w:ind w:left="1440" w:hanging="1440"/>
      </w:pPr>
    </w:lvl>
    <w:lvl w:ilvl="8" w:tentative="0">
      <w:start w:val="1"/>
      <w:numFmt w:val="decimal"/>
      <w:lvlText w:val="%1.%2.%3.%4.%5.%6.%7.%8.%9."/>
      <w:lvlJc w:val="left"/>
      <w:pPr>
        <w:ind w:left="1800" w:hanging="1800"/>
      </w:pPr>
    </w:lvl>
  </w:abstractNum>
  <w:abstractNum w:abstractNumId="12">
    <w:nsid w:val="45760895"/>
    <w:multiLevelType w:val="multilevel"/>
    <w:tmpl w:val="45760895"/>
    <w:lvl w:ilvl="0" w:tentative="0">
      <w:start w:val="1"/>
      <w:numFmt w:val="lowerLetter"/>
      <w:lvlText w:val="%1)"/>
      <w:lvlJc w:val="left"/>
      <w:pPr>
        <w:ind w:left="720" w:hanging="360"/>
      </w:pPr>
      <w:rPr>
        <w:b w:val="0"/>
        <w:strike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718275C"/>
    <w:multiLevelType w:val="multilevel"/>
    <w:tmpl w:val="4718275C"/>
    <w:lvl w:ilvl="0" w:tentative="0">
      <w:start w:val="7"/>
      <w:numFmt w:val="decimal"/>
      <w:lvlText w:val="%1."/>
      <w:lvlJc w:val="left"/>
      <w:pPr>
        <w:ind w:left="360" w:hanging="360"/>
      </w:pPr>
    </w:lvl>
    <w:lvl w:ilvl="1" w:tentative="0">
      <w:start w:val="1"/>
      <w:numFmt w:val="decimal"/>
      <w:lvlText w:val="%1.%2."/>
      <w:lvlJc w:val="left"/>
      <w:pPr>
        <w:ind w:left="360" w:hanging="360"/>
      </w:pPr>
      <w:rPr>
        <w:rFonts w:hint="default" w:asciiTheme="majorHAnsi" w:hAnsiTheme="majorHAnsi" w:cstheme="majorHAnsi"/>
        <w:b/>
        <w:color w:val="000000"/>
      </w:rPr>
    </w:lvl>
    <w:lvl w:ilvl="2" w:tentative="0">
      <w:start w:val="1"/>
      <w:numFmt w:val="decimal"/>
      <w:lvlText w:val="%1.%2.%3."/>
      <w:lvlJc w:val="left"/>
      <w:pPr>
        <w:ind w:left="862" w:hanging="720"/>
      </w:pPr>
      <w:rPr>
        <w:rFonts w:hint="default" w:eastAsia="Times New Roman" w:asciiTheme="majorHAnsi" w:hAnsiTheme="majorHAnsi" w:cstheme="majorHAnsi"/>
        <w:b/>
        <w:color w:val="000000"/>
      </w:r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440" w:hanging="1440"/>
      </w:pPr>
    </w:lvl>
    <w:lvl w:ilvl="7" w:tentative="0">
      <w:start w:val="1"/>
      <w:numFmt w:val="decimal"/>
      <w:lvlText w:val="%1.%2.%3.%4.%5.%6.%7.%8."/>
      <w:lvlJc w:val="left"/>
      <w:pPr>
        <w:ind w:left="1440" w:hanging="1440"/>
      </w:pPr>
    </w:lvl>
    <w:lvl w:ilvl="8" w:tentative="0">
      <w:start w:val="1"/>
      <w:numFmt w:val="decimal"/>
      <w:lvlText w:val="%1.%2.%3.%4.%5.%6.%7.%8.%9."/>
      <w:lvlJc w:val="left"/>
      <w:pPr>
        <w:ind w:left="1800" w:hanging="1800"/>
      </w:pPr>
    </w:lvl>
  </w:abstractNum>
  <w:abstractNum w:abstractNumId="14">
    <w:nsid w:val="51D10D71"/>
    <w:multiLevelType w:val="multilevel"/>
    <w:tmpl w:val="51D10D71"/>
    <w:lvl w:ilvl="0" w:tentative="0">
      <w:start w:val="8"/>
      <w:numFmt w:val="decimal"/>
      <w:lvlText w:val="%1."/>
      <w:lvlJc w:val="left"/>
      <w:pPr>
        <w:ind w:left="1353" w:hanging="359"/>
      </w:pPr>
      <w:rPr>
        <w:color w:val="000000"/>
      </w:rPr>
    </w:lvl>
    <w:lvl w:ilvl="1" w:tentative="0">
      <w:start w:val="1"/>
      <w:numFmt w:val="decimal"/>
      <w:lvlText w:val="%1.%2."/>
      <w:lvlJc w:val="left"/>
      <w:pPr>
        <w:ind w:left="3670" w:hanging="360"/>
      </w:pPr>
      <w:rPr>
        <w:b/>
        <w:color w:val="000000"/>
      </w:rPr>
    </w:lvl>
    <w:lvl w:ilvl="2" w:tentative="0">
      <w:start w:val="1"/>
      <w:numFmt w:val="decimal"/>
      <w:lvlText w:val="%1.%2.%3."/>
      <w:lvlJc w:val="left"/>
      <w:pPr>
        <w:ind w:left="5213" w:hanging="720"/>
      </w:pPr>
      <w:rPr>
        <w:rFonts w:ascii="Times New Roman" w:hAnsi="Times New Roman" w:eastAsia="Times New Roman" w:cs="Times New Roman"/>
        <w:b/>
      </w:rPr>
    </w:lvl>
    <w:lvl w:ilvl="3" w:tentative="0">
      <w:start w:val="1"/>
      <w:numFmt w:val="decimal"/>
      <w:lvlText w:val="%1.%2.%3.%4."/>
      <w:lvlJc w:val="left"/>
      <w:pPr>
        <w:ind w:left="6108" w:hanging="720"/>
      </w:pPr>
      <w:rPr>
        <w:b/>
        <w:color w:val="0070C0"/>
      </w:rPr>
    </w:lvl>
    <w:lvl w:ilvl="4" w:tentative="0">
      <w:start w:val="1"/>
      <w:numFmt w:val="decimal"/>
      <w:lvlText w:val="%1.%2.%3.%4.%5."/>
      <w:lvlJc w:val="left"/>
      <w:pPr>
        <w:ind w:left="7939" w:hanging="1080"/>
      </w:pPr>
    </w:lvl>
    <w:lvl w:ilvl="5" w:tentative="0">
      <w:start w:val="1"/>
      <w:numFmt w:val="decimal"/>
      <w:lvlText w:val="%1.%2.%3.%4.%5.%6."/>
      <w:lvlJc w:val="left"/>
      <w:pPr>
        <w:ind w:left="9122" w:hanging="1080"/>
      </w:pPr>
    </w:lvl>
    <w:lvl w:ilvl="6" w:tentative="0">
      <w:start w:val="1"/>
      <w:numFmt w:val="decimal"/>
      <w:lvlText w:val="%1.%2.%3.%4.%5.%6.%7."/>
      <w:lvlJc w:val="left"/>
      <w:pPr>
        <w:ind w:left="10305" w:hanging="1080"/>
      </w:pPr>
    </w:lvl>
    <w:lvl w:ilvl="7" w:tentative="0">
      <w:start w:val="1"/>
      <w:numFmt w:val="decimal"/>
      <w:lvlText w:val="%1.%2.%3.%4.%5.%6.%7.%8."/>
      <w:lvlJc w:val="left"/>
      <w:pPr>
        <w:ind w:left="11848" w:hanging="1440"/>
      </w:pPr>
    </w:lvl>
    <w:lvl w:ilvl="8" w:tentative="0">
      <w:start w:val="1"/>
      <w:numFmt w:val="decimal"/>
      <w:lvlText w:val="%1.%2.%3.%4.%5.%6.%7.%8.%9."/>
      <w:lvlJc w:val="left"/>
      <w:pPr>
        <w:ind w:left="13031" w:hanging="1440"/>
      </w:pPr>
    </w:lvl>
  </w:abstractNum>
  <w:abstractNum w:abstractNumId="15">
    <w:nsid w:val="51F72A3C"/>
    <w:multiLevelType w:val="multilevel"/>
    <w:tmpl w:val="51F72A3C"/>
    <w:lvl w:ilvl="0" w:tentative="0">
      <w:start w:val="1"/>
      <w:numFmt w:val="lowerLetter"/>
      <w:lvlText w:val="%1)"/>
      <w:lvlJc w:val="left"/>
      <w:pPr>
        <w:ind w:left="720" w:hanging="360"/>
      </w:pPr>
      <w:rPr>
        <w:b w:val="0"/>
        <w:strike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D7B0D5D"/>
    <w:multiLevelType w:val="multilevel"/>
    <w:tmpl w:val="5D7B0D5D"/>
    <w:lvl w:ilvl="0" w:tentative="0">
      <w:start w:val="5"/>
      <w:numFmt w:val="decimal"/>
      <w:lvlText w:val="%1."/>
      <w:lvlJc w:val="left"/>
      <w:pPr>
        <w:ind w:left="660" w:hanging="660"/>
      </w:pPr>
      <w:rPr>
        <w:b/>
        <w:color w:val="000000"/>
      </w:rPr>
    </w:lvl>
    <w:lvl w:ilvl="1" w:tentative="0">
      <w:start w:val="3"/>
      <w:numFmt w:val="decimal"/>
      <w:lvlText w:val="%1.%2."/>
      <w:lvlJc w:val="left"/>
      <w:pPr>
        <w:ind w:left="660" w:hanging="660"/>
      </w:pPr>
      <w:rPr>
        <w:b w:val="0"/>
      </w:rPr>
    </w:lvl>
    <w:lvl w:ilvl="2" w:tentative="0">
      <w:start w:val="2"/>
      <w:numFmt w:val="decimal"/>
      <w:lvlText w:val="%1.%2.%3."/>
      <w:lvlJc w:val="left"/>
      <w:pPr>
        <w:ind w:left="720" w:hanging="720"/>
      </w:pPr>
      <w:rPr>
        <w:b/>
      </w:rPr>
    </w:lvl>
    <w:lvl w:ilvl="3" w:tentative="0">
      <w:start w:val="1"/>
      <w:numFmt w:val="decimal"/>
      <w:lvlText w:val="%1.%2.%3.%4."/>
      <w:lvlJc w:val="left"/>
      <w:pPr>
        <w:ind w:left="1855" w:hanging="720"/>
      </w:pPr>
      <w:rPr>
        <w:b/>
      </w:rPr>
    </w:lvl>
    <w:lvl w:ilvl="4" w:tentative="0">
      <w:start w:val="1"/>
      <w:numFmt w:val="decimal"/>
      <w:lvlText w:val="%1.%2.%3.%4.%5."/>
      <w:lvlJc w:val="left"/>
      <w:pPr>
        <w:ind w:left="1080" w:hanging="1080"/>
      </w:pPr>
      <w:rPr>
        <w:b w:val="0"/>
      </w:rPr>
    </w:lvl>
    <w:lvl w:ilvl="5" w:tentative="0">
      <w:start w:val="1"/>
      <w:numFmt w:val="decimal"/>
      <w:lvlText w:val="%1.%2.%3.%4.%5.%6."/>
      <w:lvlJc w:val="left"/>
      <w:pPr>
        <w:ind w:left="1080" w:hanging="1080"/>
      </w:pPr>
      <w:rPr>
        <w:b w:val="0"/>
      </w:rPr>
    </w:lvl>
    <w:lvl w:ilvl="6" w:tentative="0">
      <w:start w:val="1"/>
      <w:numFmt w:val="decimal"/>
      <w:lvlText w:val="%1.%2.%3.%4.%5.%6.%7."/>
      <w:lvlJc w:val="left"/>
      <w:pPr>
        <w:ind w:left="1440" w:hanging="1440"/>
      </w:pPr>
      <w:rPr>
        <w:b w:val="0"/>
      </w:rPr>
    </w:lvl>
    <w:lvl w:ilvl="7" w:tentative="0">
      <w:start w:val="1"/>
      <w:numFmt w:val="decimal"/>
      <w:lvlText w:val="%1.%2.%3.%4.%5.%6.%7.%8."/>
      <w:lvlJc w:val="left"/>
      <w:pPr>
        <w:ind w:left="1440" w:hanging="1440"/>
      </w:pPr>
      <w:rPr>
        <w:b w:val="0"/>
      </w:rPr>
    </w:lvl>
    <w:lvl w:ilvl="8" w:tentative="0">
      <w:start w:val="1"/>
      <w:numFmt w:val="decimal"/>
      <w:lvlText w:val="%1.%2.%3.%4.%5.%6.%7.%8.%9."/>
      <w:lvlJc w:val="left"/>
      <w:pPr>
        <w:ind w:left="1800" w:hanging="1800"/>
      </w:pPr>
      <w:rPr>
        <w:b w:val="0"/>
      </w:rPr>
    </w:lvl>
  </w:abstractNum>
  <w:abstractNum w:abstractNumId="17">
    <w:nsid w:val="5FD65359"/>
    <w:multiLevelType w:val="multilevel"/>
    <w:tmpl w:val="5FD65359"/>
    <w:lvl w:ilvl="0" w:tentative="0">
      <w:start w:val="1"/>
      <w:numFmt w:val="lowerLetter"/>
      <w:lvlText w:val="%1)"/>
      <w:lvlJc w:val="left"/>
      <w:pPr>
        <w:ind w:left="1080" w:hanging="360"/>
      </w:pPr>
      <w:rPr>
        <w:strike w:val="0"/>
        <w:color w:val="00000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8">
    <w:nsid w:val="637A0E3D"/>
    <w:multiLevelType w:val="multilevel"/>
    <w:tmpl w:val="637A0E3D"/>
    <w:lvl w:ilvl="0" w:tentative="0">
      <w:start w:val="5"/>
      <w:numFmt w:val="decimal"/>
      <w:lvlText w:val="%1."/>
      <w:lvlJc w:val="left"/>
      <w:pPr>
        <w:ind w:left="450" w:hanging="450"/>
      </w:pPr>
    </w:lvl>
    <w:lvl w:ilvl="1" w:tentative="0">
      <w:start w:val="1"/>
      <w:numFmt w:val="decimal"/>
      <w:lvlText w:val="%1.%2."/>
      <w:lvlJc w:val="left"/>
      <w:pPr>
        <w:ind w:left="450" w:hanging="450"/>
      </w:pPr>
    </w:lvl>
    <w:lvl w:ilvl="2" w:tentative="0">
      <w:start w:val="1"/>
      <w:numFmt w:val="decimal"/>
      <w:lvlText w:val="%1.%2.%3."/>
      <w:lvlJc w:val="left"/>
      <w:pPr>
        <w:ind w:left="720" w:hanging="720"/>
      </w:pPr>
      <w:rPr>
        <w:b/>
      </w:r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abstractNum w:abstractNumId="19">
    <w:nsid w:val="693D05CF"/>
    <w:multiLevelType w:val="multilevel"/>
    <w:tmpl w:val="693D05CF"/>
    <w:lvl w:ilvl="0" w:tentative="0">
      <w:start w:val="5"/>
      <w:numFmt w:val="decimal"/>
      <w:lvlText w:val="%1."/>
      <w:lvlJc w:val="left"/>
      <w:pPr>
        <w:ind w:left="495" w:hanging="495"/>
      </w:pPr>
      <w:rPr>
        <w:color w:val="000000"/>
        <w:sz w:val="20"/>
        <w:szCs w:val="20"/>
      </w:rPr>
    </w:lvl>
    <w:lvl w:ilvl="1" w:tentative="0">
      <w:start w:val="2"/>
      <w:numFmt w:val="decimal"/>
      <w:lvlText w:val="%1.%2."/>
      <w:lvlJc w:val="left"/>
      <w:pPr>
        <w:ind w:left="7300" w:hanging="495"/>
      </w:pPr>
      <w:rPr>
        <w:b/>
        <w:color w:val="000000"/>
      </w:rPr>
    </w:lvl>
    <w:lvl w:ilvl="2" w:tentative="0">
      <w:start w:val="1"/>
      <w:numFmt w:val="decimal"/>
      <w:lvlText w:val="%1.%2.%3."/>
      <w:lvlJc w:val="left"/>
      <w:pPr>
        <w:ind w:left="3981" w:hanging="720"/>
      </w:pPr>
      <w:rPr>
        <w:b/>
        <w:color w:val="000000"/>
      </w:rPr>
    </w:lvl>
    <w:lvl w:ilvl="3" w:tentative="0">
      <w:start w:val="1"/>
      <w:numFmt w:val="decimal"/>
      <w:lvlText w:val="%1.%2.%3.%4."/>
      <w:lvlJc w:val="left"/>
      <w:pPr>
        <w:ind w:left="720" w:hanging="720"/>
      </w:pPr>
      <w:rPr>
        <w:rFonts w:hint="default" w:eastAsia="Times New Roman" w:asciiTheme="majorHAnsi" w:hAnsiTheme="majorHAnsi" w:cstheme="majorHAnsi"/>
        <w:b/>
        <w:color w:val="000000"/>
        <w:sz w:val="20"/>
        <w:szCs w:val="20"/>
      </w:rPr>
    </w:lvl>
    <w:lvl w:ilvl="4" w:tentative="0">
      <w:start w:val="1"/>
      <w:numFmt w:val="decimal"/>
      <w:lvlText w:val="%1.%2.%3.%4.%5."/>
      <w:lvlJc w:val="left"/>
      <w:pPr>
        <w:ind w:left="2215" w:hanging="1080"/>
      </w:pPr>
      <w:rPr>
        <w:b/>
        <w:color w:val="000000"/>
      </w:rPr>
    </w:lvl>
    <w:lvl w:ilvl="5" w:tentative="0">
      <w:start w:val="1"/>
      <w:numFmt w:val="decimal"/>
      <w:lvlText w:val="%1.%2.%3.%4.%5.%6."/>
      <w:lvlJc w:val="left"/>
      <w:pPr>
        <w:ind w:left="1080" w:hanging="1080"/>
      </w:pPr>
      <w:rPr>
        <w:b/>
      </w:r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abstractNum w:abstractNumId="20">
    <w:nsid w:val="69552B78"/>
    <w:multiLevelType w:val="multilevel"/>
    <w:tmpl w:val="69552B78"/>
    <w:lvl w:ilvl="0" w:tentative="0">
      <w:start w:val="1"/>
      <w:numFmt w:val="lowerLetter"/>
      <w:lvlText w:val="%1)"/>
      <w:lvlJc w:val="left"/>
      <w:pPr>
        <w:ind w:left="1080" w:hanging="360"/>
      </w:pPr>
      <w:rPr>
        <w:strike w:val="0"/>
        <w:color w:val="00000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1">
    <w:nsid w:val="6B6E20C6"/>
    <w:multiLevelType w:val="multilevel"/>
    <w:tmpl w:val="6B6E20C6"/>
    <w:lvl w:ilvl="0" w:tentative="0">
      <w:start w:val="3"/>
      <w:numFmt w:val="decimal"/>
      <w:lvlText w:val="%1."/>
      <w:lvlJc w:val="left"/>
      <w:pPr>
        <w:ind w:left="450" w:hanging="450"/>
      </w:pPr>
      <w:rPr>
        <w:b w:val="0"/>
        <w:color w:val="000000"/>
      </w:rPr>
    </w:lvl>
    <w:lvl w:ilvl="1" w:tentative="0">
      <w:start w:val="2"/>
      <w:numFmt w:val="decimal"/>
      <w:lvlText w:val="%1.%2."/>
      <w:lvlJc w:val="left"/>
      <w:pPr>
        <w:ind w:left="450" w:hanging="450"/>
      </w:pPr>
      <w:rPr>
        <w:b w:val="0"/>
        <w:color w:val="000000"/>
      </w:rPr>
    </w:lvl>
    <w:lvl w:ilvl="2" w:tentative="0">
      <w:start w:val="2"/>
      <w:numFmt w:val="decimal"/>
      <w:lvlText w:val="%1.%2.%3."/>
      <w:lvlJc w:val="left"/>
      <w:pPr>
        <w:ind w:left="720" w:hanging="720"/>
      </w:pPr>
      <w:rPr>
        <w:rFonts w:hint="default" w:eastAsia="Arial" w:asciiTheme="majorHAnsi" w:hAnsiTheme="majorHAnsi" w:cstheme="majorHAnsi"/>
        <w:b/>
        <w:color w:val="000000"/>
      </w:rPr>
    </w:lvl>
    <w:lvl w:ilvl="3" w:tentative="0">
      <w:start w:val="1"/>
      <w:numFmt w:val="decimal"/>
      <w:lvlText w:val="%1.%2.%3.%4."/>
      <w:lvlJc w:val="left"/>
      <w:pPr>
        <w:ind w:left="720" w:hanging="720"/>
      </w:pPr>
      <w:rPr>
        <w:b w:val="0"/>
        <w:color w:val="000000"/>
      </w:rPr>
    </w:lvl>
    <w:lvl w:ilvl="4" w:tentative="0">
      <w:start w:val="1"/>
      <w:numFmt w:val="decimal"/>
      <w:lvlText w:val="%1.%2.%3.%4.%5."/>
      <w:lvlJc w:val="left"/>
      <w:pPr>
        <w:ind w:left="1080" w:hanging="1080"/>
      </w:pPr>
      <w:rPr>
        <w:b w:val="0"/>
        <w:color w:val="000000"/>
      </w:rPr>
    </w:lvl>
    <w:lvl w:ilvl="5" w:tentative="0">
      <w:start w:val="1"/>
      <w:numFmt w:val="decimal"/>
      <w:lvlText w:val="%1.%2.%3.%4.%5.%6."/>
      <w:lvlJc w:val="left"/>
      <w:pPr>
        <w:ind w:left="1080" w:hanging="1080"/>
      </w:pPr>
      <w:rPr>
        <w:b w:val="0"/>
        <w:color w:val="000000"/>
      </w:rPr>
    </w:lvl>
    <w:lvl w:ilvl="6" w:tentative="0">
      <w:start w:val="1"/>
      <w:numFmt w:val="decimal"/>
      <w:lvlText w:val="%1.%2.%3.%4.%5.%6.%7."/>
      <w:lvlJc w:val="left"/>
      <w:pPr>
        <w:ind w:left="1080" w:hanging="1080"/>
      </w:pPr>
      <w:rPr>
        <w:b w:val="0"/>
        <w:color w:val="000000"/>
      </w:rPr>
    </w:lvl>
    <w:lvl w:ilvl="7" w:tentative="0">
      <w:start w:val="1"/>
      <w:numFmt w:val="decimal"/>
      <w:lvlText w:val="%1.%2.%3.%4.%5.%6.%7.%8."/>
      <w:lvlJc w:val="left"/>
      <w:pPr>
        <w:ind w:left="1440" w:hanging="1440"/>
      </w:pPr>
      <w:rPr>
        <w:b w:val="0"/>
        <w:color w:val="000000"/>
      </w:rPr>
    </w:lvl>
    <w:lvl w:ilvl="8" w:tentative="0">
      <w:start w:val="1"/>
      <w:numFmt w:val="decimal"/>
      <w:lvlText w:val="%1.%2.%3.%4.%5.%6.%7.%8.%9."/>
      <w:lvlJc w:val="left"/>
      <w:pPr>
        <w:ind w:left="1440" w:hanging="1440"/>
      </w:pPr>
      <w:rPr>
        <w:b w:val="0"/>
        <w:color w:val="000000"/>
      </w:rPr>
    </w:lvl>
  </w:abstractNum>
  <w:abstractNum w:abstractNumId="22">
    <w:nsid w:val="6B8060C6"/>
    <w:multiLevelType w:val="multilevel"/>
    <w:tmpl w:val="6B8060C6"/>
    <w:lvl w:ilvl="0" w:tentative="0">
      <w:start w:val="3"/>
      <w:numFmt w:val="decimal"/>
      <w:lvlText w:val="%1."/>
      <w:lvlJc w:val="left"/>
      <w:pPr>
        <w:ind w:left="360" w:hanging="360"/>
      </w:pPr>
    </w:lvl>
    <w:lvl w:ilvl="1" w:tentative="0">
      <w:start w:val="1"/>
      <w:numFmt w:val="decimal"/>
      <w:lvlText w:val="%1.%2."/>
      <w:lvlJc w:val="left"/>
      <w:pPr>
        <w:ind w:left="360" w:hanging="360"/>
      </w:pPr>
    </w:lvl>
    <w:lvl w:ilvl="2" w:tentative="0">
      <w:start w:val="1"/>
      <w:numFmt w:val="decimal"/>
      <w:lvlText w:val="%1.%2.%3."/>
      <w:lvlJc w:val="left"/>
      <w:pPr>
        <w:ind w:left="720" w:hanging="720"/>
      </w:pPr>
      <w:rPr>
        <w:b/>
      </w:r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abstractNum w:abstractNumId="23">
    <w:nsid w:val="6C9C610E"/>
    <w:multiLevelType w:val="multilevel"/>
    <w:tmpl w:val="6C9C610E"/>
    <w:lvl w:ilvl="0" w:tentative="0">
      <w:start w:val="1"/>
      <w:numFmt w:val="lowerLetter"/>
      <w:lvlText w:val="%1)"/>
      <w:lvlJc w:val="left"/>
      <w:pPr>
        <w:ind w:left="0" w:firstLine="0"/>
      </w:pPr>
    </w:lvl>
    <w:lvl w:ilvl="1" w:tentative="0">
      <w:start w:val="1"/>
      <w:numFmt w:val="decimal"/>
      <w:lvlText w:val="%2."/>
      <w:lvlJc w:val="left"/>
      <w:pPr>
        <w:ind w:left="1080" w:hanging="360"/>
      </w:pPr>
    </w:lvl>
    <w:lvl w:ilvl="2" w:tentative="0">
      <w:start w:val="1"/>
      <w:numFmt w:val="decimal"/>
      <w:lvlText w:val="%3."/>
      <w:lvlJc w:val="left"/>
      <w:pPr>
        <w:ind w:left="1440" w:hanging="360"/>
      </w:pPr>
    </w:lvl>
    <w:lvl w:ilvl="3" w:tentative="0">
      <w:start w:val="1"/>
      <w:numFmt w:val="decimal"/>
      <w:lvlText w:val="%4."/>
      <w:lvlJc w:val="left"/>
      <w:pPr>
        <w:ind w:left="1800" w:hanging="360"/>
      </w:pPr>
    </w:lvl>
    <w:lvl w:ilvl="4" w:tentative="0">
      <w:start w:val="1"/>
      <w:numFmt w:val="decimal"/>
      <w:lvlText w:val="%5."/>
      <w:lvlJc w:val="left"/>
      <w:pPr>
        <w:ind w:left="2160" w:hanging="360"/>
      </w:pPr>
    </w:lvl>
    <w:lvl w:ilvl="5" w:tentative="0">
      <w:start w:val="1"/>
      <w:numFmt w:val="decimal"/>
      <w:lvlText w:val="%6."/>
      <w:lvlJc w:val="left"/>
      <w:pPr>
        <w:ind w:left="2520" w:hanging="360"/>
      </w:pPr>
    </w:lvl>
    <w:lvl w:ilvl="6" w:tentative="0">
      <w:start w:val="1"/>
      <w:numFmt w:val="decimal"/>
      <w:lvlText w:val="%7."/>
      <w:lvlJc w:val="left"/>
      <w:pPr>
        <w:ind w:left="2880" w:hanging="360"/>
      </w:pPr>
    </w:lvl>
    <w:lvl w:ilvl="7" w:tentative="0">
      <w:start w:val="1"/>
      <w:numFmt w:val="decimal"/>
      <w:lvlText w:val="%8."/>
      <w:lvlJc w:val="left"/>
      <w:pPr>
        <w:ind w:left="3240" w:hanging="360"/>
      </w:pPr>
    </w:lvl>
    <w:lvl w:ilvl="8" w:tentative="0">
      <w:start w:val="1"/>
      <w:numFmt w:val="decimal"/>
      <w:lvlText w:val="%9."/>
      <w:lvlJc w:val="left"/>
      <w:pPr>
        <w:ind w:left="3600" w:hanging="360"/>
      </w:pPr>
    </w:lvl>
  </w:abstractNum>
  <w:abstractNum w:abstractNumId="24">
    <w:nsid w:val="6CB53B15"/>
    <w:multiLevelType w:val="multilevel"/>
    <w:tmpl w:val="6CB53B15"/>
    <w:lvl w:ilvl="0" w:tentative="0">
      <w:start w:val="1"/>
      <w:numFmt w:val="decimal"/>
      <w:lvlText w:val="%1."/>
      <w:lvlJc w:val="left"/>
      <w:pPr>
        <w:ind w:left="3479" w:hanging="360"/>
      </w:pPr>
    </w:lvl>
    <w:lvl w:ilvl="1" w:tentative="0">
      <w:start w:val="4"/>
      <w:numFmt w:val="decimal"/>
      <w:lvlText w:val="%1.%2."/>
      <w:lvlJc w:val="left"/>
      <w:pPr>
        <w:ind w:left="876" w:hanging="450"/>
      </w:pPr>
      <w:rPr>
        <w:color w:val="000000"/>
      </w:rPr>
    </w:lvl>
    <w:lvl w:ilvl="2" w:tentative="0">
      <w:start w:val="1"/>
      <w:numFmt w:val="decimal"/>
      <w:lvlText w:val="%1.%2.%3."/>
      <w:lvlJc w:val="left"/>
      <w:pPr>
        <w:ind w:left="1146" w:hanging="720"/>
      </w:pPr>
      <w:rPr>
        <w:color w:val="000000"/>
      </w:rPr>
    </w:lvl>
    <w:lvl w:ilvl="3" w:tentative="0">
      <w:start w:val="1"/>
      <w:numFmt w:val="decimal"/>
      <w:lvlText w:val="%1.%2.%3.%4."/>
      <w:lvlJc w:val="left"/>
      <w:pPr>
        <w:ind w:left="1146" w:hanging="720"/>
      </w:pPr>
      <w:rPr>
        <w:color w:val="000000"/>
      </w:rPr>
    </w:lvl>
    <w:lvl w:ilvl="4" w:tentative="0">
      <w:start w:val="1"/>
      <w:numFmt w:val="decimal"/>
      <w:lvlText w:val="%1.%2.%3.%4.%5."/>
      <w:lvlJc w:val="left"/>
      <w:pPr>
        <w:ind w:left="1506" w:hanging="1080"/>
      </w:pPr>
      <w:rPr>
        <w:color w:val="000000"/>
      </w:rPr>
    </w:lvl>
    <w:lvl w:ilvl="5" w:tentative="0">
      <w:start w:val="1"/>
      <w:numFmt w:val="decimal"/>
      <w:lvlText w:val="%1.%2.%3.%4.%5.%6."/>
      <w:lvlJc w:val="left"/>
      <w:pPr>
        <w:ind w:left="1506" w:hanging="1080"/>
      </w:pPr>
      <w:rPr>
        <w:color w:val="000000"/>
      </w:rPr>
    </w:lvl>
    <w:lvl w:ilvl="6" w:tentative="0">
      <w:start w:val="1"/>
      <w:numFmt w:val="decimal"/>
      <w:lvlText w:val="%1.%2.%3.%4.%5.%6.%7."/>
      <w:lvlJc w:val="left"/>
      <w:pPr>
        <w:ind w:left="1506" w:hanging="1080"/>
      </w:pPr>
      <w:rPr>
        <w:color w:val="000000"/>
      </w:rPr>
    </w:lvl>
    <w:lvl w:ilvl="7" w:tentative="0">
      <w:start w:val="1"/>
      <w:numFmt w:val="decimal"/>
      <w:lvlText w:val="%1.%2.%3.%4.%5.%6.%7.%8."/>
      <w:lvlJc w:val="left"/>
      <w:pPr>
        <w:ind w:left="1866" w:hanging="1440"/>
      </w:pPr>
      <w:rPr>
        <w:color w:val="000000"/>
      </w:rPr>
    </w:lvl>
    <w:lvl w:ilvl="8" w:tentative="0">
      <w:start w:val="1"/>
      <w:numFmt w:val="decimal"/>
      <w:lvlText w:val="%1.%2.%3.%4.%5.%6.%7.%8.%9."/>
      <w:lvlJc w:val="left"/>
      <w:pPr>
        <w:ind w:left="1866" w:hanging="1440"/>
      </w:pPr>
      <w:rPr>
        <w:color w:val="000000"/>
      </w:rPr>
    </w:lvl>
  </w:abstractNum>
  <w:abstractNum w:abstractNumId="25">
    <w:nsid w:val="6DF10C82"/>
    <w:multiLevelType w:val="multilevel"/>
    <w:tmpl w:val="6DF10C82"/>
    <w:lvl w:ilvl="0" w:tentative="0">
      <w:start w:val="3"/>
      <w:numFmt w:val="decimal"/>
      <w:lvlText w:val="%1."/>
      <w:lvlJc w:val="left"/>
      <w:pPr>
        <w:ind w:left="495" w:hanging="495"/>
      </w:pPr>
      <w:rPr>
        <w:color w:val="000000"/>
      </w:rPr>
    </w:lvl>
    <w:lvl w:ilvl="1" w:tentative="0">
      <w:start w:val="2"/>
      <w:numFmt w:val="decimal"/>
      <w:lvlText w:val="%1.%2."/>
      <w:lvlJc w:val="left"/>
      <w:pPr>
        <w:ind w:left="1499" w:hanging="495"/>
      </w:pPr>
      <w:rPr>
        <w:color w:val="000000"/>
      </w:rPr>
    </w:lvl>
    <w:lvl w:ilvl="2" w:tentative="0">
      <w:start w:val="3"/>
      <w:numFmt w:val="decimal"/>
      <w:lvlText w:val="%1.%2.%3."/>
      <w:lvlJc w:val="left"/>
      <w:pPr>
        <w:ind w:left="720" w:hanging="720"/>
      </w:pPr>
      <w:rPr>
        <w:b/>
        <w:color w:val="000000"/>
      </w:rPr>
    </w:lvl>
    <w:lvl w:ilvl="3" w:tentative="0">
      <w:start w:val="1"/>
      <w:numFmt w:val="lowerLetter"/>
      <w:lvlText w:val="%4)"/>
      <w:lvlJc w:val="left"/>
      <w:pPr>
        <w:ind w:left="1430" w:hanging="720"/>
      </w:pPr>
      <w:rPr>
        <w:b w:val="0"/>
        <w:color w:val="000000"/>
      </w:rPr>
    </w:lvl>
    <w:lvl w:ilvl="4" w:tentative="0">
      <w:start w:val="1"/>
      <w:numFmt w:val="decimal"/>
      <w:lvlText w:val="%1.%2.%3.%4.%5."/>
      <w:lvlJc w:val="left"/>
      <w:pPr>
        <w:ind w:left="5096" w:hanging="1080"/>
      </w:pPr>
      <w:rPr>
        <w:b w:val="0"/>
        <w:color w:val="000000"/>
      </w:rPr>
    </w:lvl>
    <w:lvl w:ilvl="5" w:tentative="0">
      <w:start w:val="1"/>
      <w:numFmt w:val="decimal"/>
      <w:lvlText w:val="%1.%2.%3.%4.%5.%6."/>
      <w:lvlJc w:val="left"/>
      <w:pPr>
        <w:ind w:left="6100" w:hanging="1080"/>
      </w:pPr>
      <w:rPr>
        <w:color w:val="000000"/>
      </w:rPr>
    </w:lvl>
    <w:lvl w:ilvl="6" w:tentative="0">
      <w:start w:val="1"/>
      <w:numFmt w:val="decimal"/>
      <w:lvlText w:val="%1.%2.%3.%4.%5.%6.%7."/>
      <w:lvlJc w:val="left"/>
      <w:pPr>
        <w:ind w:left="7464" w:hanging="1440"/>
      </w:pPr>
      <w:rPr>
        <w:color w:val="000000"/>
      </w:rPr>
    </w:lvl>
    <w:lvl w:ilvl="7" w:tentative="0">
      <w:start w:val="1"/>
      <w:numFmt w:val="decimal"/>
      <w:lvlText w:val="%1.%2.%3.%4.%5.%6.%7.%8."/>
      <w:lvlJc w:val="left"/>
      <w:pPr>
        <w:ind w:left="8468" w:hanging="1440"/>
      </w:pPr>
      <w:rPr>
        <w:color w:val="000000"/>
      </w:rPr>
    </w:lvl>
    <w:lvl w:ilvl="8" w:tentative="0">
      <w:start w:val="1"/>
      <w:numFmt w:val="decimal"/>
      <w:lvlText w:val="%1.%2.%3.%4.%5.%6.%7.%8.%9."/>
      <w:lvlJc w:val="left"/>
      <w:pPr>
        <w:ind w:left="9832" w:hanging="1800"/>
      </w:pPr>
      <w:rPr>
        <w:color w:val="000000"/>
      </w:rPr>
    </w:lvl>
  </w:abstractNum>
  <w:abstractNum w:abstractNumId="26">
    <w:nsid w:val="6E2D0294"/>
    <w:multiLevelType w:val="multilevel"/>
    <w:tmpl w:val="6E2D0294"/>
    <w:lvl w:ilvl="0" w:tentative="0">
      <w:start w:val="9"/>
      <w:numFmt w:val="decimal"/>
      <w:lvlText w:val="%1."/>
      <w:lvlJc w:val="left"/>
      <w:pPr>
        <w:ind w:left="450" w:hanging="450"/>
      </w:pPr>
      <w:rPr>
        <w:color w:val="000000"/>
      </w:rPr>
    </w:lvl>
    <w:lvl w:ilvl="1" w:tentative="0">
      <w:start w:val="1"/>
      <w:numFmt w:val="decimal"/>
      <w:lvlText w:val="%1.%2."/>
      <w:lvlJc w:val="left"/>
      <w:pPr>
        <w:ind w:left="450" w:hanging="450"/>
      </w:pPr>
      <w:rPr>
        <w:b/>
        <w:color w:val="000000"/>
      </w:rPr>
    </w:lvl>
    <w:lvl w:ilvl="2" w:tentative="0">
      <w:start w:val="1"/>
      <w:numFmt w:val="decimal"/>
      <w:lvlText w:val="%1.%2.%3."/>
      <w:lvlJc w:val="left"/>
      <w:pPr>
        <w:ind w:left="1288" w:hanging="719"/>
      </w:pPr>
      <w:rPr>
        <w:b/>
        <w:color w:val="000000"/>
      </w:rPr>
    </w:lvl>
    <w:lvl w:ilvl="3" w:tentative="0">
      <w:start w:val="1"/>
      <w:numFmt w:val="decimal"/>
      <w:lvlText w:val="%1.%2.%3.%4."/>
      <w:lvlJc w:val="left"/>
      <w:pPr>
        <w:ind w:left="5115" w:hanging="720"/>
      </w:pPr>
      <w:rPr>
        <w:b w:val="0"/>
        <w:color w:val="000000"/>
      </w:r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abstractNum w:abstractNumId="27">
    <w:nsid w:val="6FF30661"/>
    <w:multiLevelType w:val="multilevel"/>
    <w:tmpl w:val="6FF30661"/>
    <w:lvl w:ilvl="0" w:tentative="0">
      <w:start w:val="2"/>
      <w:numFmt w:val="decimal"/>
      <w:lvlText w:val="%1."/>
      <w:lvlJc w:val="left"/>
      <w:pPr>
        <w:ind w:left="425" w:hanging="425"/>
      </w:pPr>
      <w:rPr>
        <w:u w:val="none"/>
      </w:rPr>
    </w:lvl>
    <w:lvl w:ilvl="1" w:tentative="0">
      <w:start w:val="1"/>
      <w:numFmt w:val="lowerLetter"/>
      <w:lvlText w:val="%2."/>
      <w:lvlJc w:val="left"/>
      <w:pPr>
        <w:ind w:left="2160" w:hanging="360"/>
      </w:pPr>
      <w:rPr>
        <w:u w:val="none"/>
      </w:rPr>
    </w:lvl>
    <w:lvl w:ilvl="2" w:tentative="0">
      <w:start w:val="1"/>
      <w:numFmt w:val="lowerRoman"/>
      <w:lvlText w:val="%3."/>
      <w:lvlJc w:val="right"/>
      <w:pPr>
        <w:ind w:left="2880" w:hanging="360"/>
      </w:pPr>
      <w:rPr>
        <w:u w:val="none"/>
      </w:rPr>
    </w:lvl>
    <w:lvl w:ilvl="3" w:tentative="0">
      <w:start w:val="1"/>
      <w:numFmt w:val="decimal"/>
      <w:lvlText w:val="%4."/>
      <w:lvlJc w:val="left"/>
      <w:pPr>
        <w:ind w:left="3600" w:hanging="360"/>
      </w:pPr>
      <w:rPr>
        <w:u w:val="none"/>
      </w:rPr>
    </w:lvl>
    <w:lvl w:ilvl="4" w:tentative="0">
      <w:start w:val="1"/>
      <w:numFmt w:val="lowerLetter"/>
      <w:lvlText w:val="%5."/>
      <w:lvlJc w:val="left"/>
      <w:pPr>
        <w:ind w:left="4320" w:hanging="360"/>
      </w:pPr>
      <w:rPr>
        <w:u w:val="none"/>
      </w:rPr>
    </w:lvl>
    <w:lvl w:ilvl="5" w:tentative="0">
      <w:start w:val="1"/>
      <w:numFmt w:val="lowerRoman"/>
      <w:lvlText w:val="%6."/>
      <w:lvlJc w:val="right"/>
      <w:pPr>
        <w:ind w:left="5040" w:hanging="360"/>
      </w:pPr>
      <w:rPr>
        <w:u w:val="none"/>
      </w:rPr>
    </w:lvl>
    <w:lvl w:ilvl="6" w:tentative="0">
      <w:start w:val="1"/>
      <w:numFmt w:val="decimal"/>
      <w:lvlText w:val="%7."/>
      <w:lvlJc w:val="left"/>
      <w:pPr>
        <w:ind w:left="5760" w:hanging="360"/>
      </w:pPr>
      <w:rPr>
        <w:u w:val="none"/>
      </w:rPr>
    </w:lvl>
    <w:lvl w:ilvl="7" w:tentative="0">
      <w:start w:val="1"/>
      <w:numFmt w:val="lowerLetter"/>
      <w:lvlText w:val="%8."/>
      <w:lvlJc w:val="left"/>
      <w:pPr>
        <w:ind w:left="6480" w:hanging="360"/>
      </w:pPr>
      <w:rPr>
        <w:u w:val="none"/>
      </w:rPr>
    </w:lvl>
    <w:lvl w:ilvl="8" w:tentative="0">
      <w:start w:val="1"/>
      <w:numFmt w:val="lowerRoman"/>
      <w:lvlText w:val="%9."/>
      <w:lvlJc w:val="right"/>
      <w:pPr>
        <w:ind w:left="7200" w:hanging="360"/>
      </w:pPr>
      <w:rPr>
        <w:u w:val="none"/>
      </w:rPr>
    </w:lvl>
  </w:abstractNum>
  <w:abstractNum w:abstractNumId="28">
    <w:nsid w:val="73596EBC"/>
    <w:multiLevelType w:val="multilevel"/>
    <w:tmpl w:val="73596EBC"/>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928" w:hanging="360"/>
      </w:pPr>
      <w:rPr>
        <w:b/>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768C1A48"/>
    <w:multiLevelType w:val="multilevel"/>
    <w:tmpl w:val="768C1A48"/>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Letter"/>
      <w:lvlText w:val="%3)"/>
      <w:lvlJc w:val="lef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D516E3A"/>
    <w:multiLevelType w:val="multilevel"/>
    <w:tmpl w:val="7D516E3A"/>
    <w:lvl w:ilvl="0" w:tentative="0">
      <w:start w:val="3"/>
      <w:numFmt w:val="decimal"/>
      <w:lvlText w:val="%1."/>
      <w:lvlJc w:val="left"/>
      <w:pPr>
        <w:ind w:left="360" w:hanging="360"/>
      </w:pPr>
    </w:lvl>
    <w:lvl w:ilvl="1" w:tentative="0">
      <w:start w:val="1"/>
      <w:numFmt w:val="decimal"/>
      <w:lvlText w:val="%1.%2."/>
      <w:lvlJc w:val="left"/>
      <w:pPr>
        <w:ind w:left="360" w:hanging="360"/>
      </w:pPr>
      <w:rPr>
        <w:rFonts w:hint="default" w:eastAsia="Times New Roman" w:asciiTheme="majorHAnsi" w:hAnsiTheme="majorHAnsi" w:cstheme="majorHAnsi"/>
        <w:sz w:val="20"/>
        <w:szCs w:val="20"/>
      </w:rPr>
    </w:lvl>
    <w:lvl w:ilvl="2" w:tentative="0">
      <w:start w:val="1"/>
      <w:numFmt w:val="decimal"/>
      <w:lvlText w:val="%1.%2.%3."/>
      <w:lvlJc w:val="left"/>
      <w:pPr>
        <w:ind w:left="720" w:hanging="720"/>
      </w:pPr>
      <w:rPr>
        <w:rFonts w:ascii="Times New Roman" w:hAnsi="Times New Roman" w:eastAsia="Times New Roman" w:cs="Times New Roman"/>
        <w:b/>
        <w:color w:val="000000"/>
      </w:rPr>
    </w:lvl>
    <w:lvl w:ilvl="3" w:tentative="0">
      <w:start w:val="1"/>
      <w:numFmt w:val="decimal"/>
      <w:lvlText w:val="%1.%2.%3.%4."/>
      <w:lvlJc w:val="left"/>
      <w:pPr>
        <w:ind w:left="1146" w:hanging="720"/>
      </w:pPr>
      <w:rPr>
        <w:rFonts w:ascii="Calibri" w:hAnsi="Calibri" w:eastAsia="Calibri" w:cs="Calibri"/>
        <w:b/>
        <w:i w:val="0"/>
        <w:color w:val="000000"/>
      </w:r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440" w:hanging="1440"/>
      </w:pPr>
    </w:lvl>
    <w:lvl w:ilvl="7" w:tentative="0">
      <w:start w:val="1"/>
      <w:numFmt w:val="decimal"/>
      <w:lvlText w:val="%1.%2.%3.%4.%5.%6.%7.%8."/>
      <w:lvlJc w:val="left"/>
      <w:pPr>
        <w:ind w:left="1440" w:hanging="1440"/>
      </w:pPr>
    </w:lvl>
    <w:lvl w:ilvl="8" w:tentative="0">
      <w:start w:val="1"/>
      <w:numFmt w:val="decimal"/>
      <w:lvlText w:val="%1.%2.%3.%4.%5.%6.%7.%8.%9."/>
      <w:lvlJc w:val="left"/>
      <w:pPr>
        <w:ind w:left="1800" w:hanging="1800"/>
      </w:pPr>
    </w:lvl>
  </w:abstractNum>
  <w:num w:numId="1">
    <w:abstractNumId w:val="24"/>
  </w:num>
  <w:num w:numId="2">
    <w:abstractNumId w:val="7"/>
  </w:num>
  <w:num w:numId="3">
    <w:abstractNumId w:val="27"/>
  </w:num>
  <w:num w:numId="4">
    <w:abstractNumId w:val="10"/>
  </w:num>
  <w:num w:numId="5">
    <w:abstractNumId w:val="8"/>
  </w:num>
  <w:num w:numId="6">
    <w:abstractNumId w:val="30"/>
  </w:num>
  <w:num w:numId="7">
    <w:abstractNumId w:val="22"/>
  </w:num>
  <w:num w:numId="8">
    <w:abstractNumId w:val="23"/>
  </w:num>
  <w:num w:numId="9">
    <w:abstractNumId w:val="11"/>
  </w:num>
  <w:num w:numId="10">
    <w:abstractNumId w:val="21"/>
  </w:num>
  <w:num w:numId="11">
    <w:abstractNumId w:val="17"/>
  </w:num>
  <w:num w:numId="12">
    <w:abstractNumId w:val="20"/>
  </w:num>
  <w:num w:numId="13">
    <w:abstractNumId w:val="29"/>
  </w:num>
  <w:num w:numId="14">
    <w:abstractNumId w:val="9"/>
  </w:num>
  <w:num w:numId="15">
    <w:abstractNumId w:val="25"/>
  </w:num>
  <w:num w:numId="16">
    <w:abstractNumId w:val="1"/>
  </w:num>
  <w:num w:numId="17">
    <w:abstractNumId w:val="0"/>
  </w:num>
  <w:num w:numId="18">
    <w:abstractNumId w:val="2"/>
  </w:num>
  <w:num w:numId="19">
    <w:abstractNumId w:val="3"/>
  </w:num>
  <w:num w:numId="20">
    <w:abstractNumId w:val="18"/>
  </w:num>
  <w:num w:numId="21">
    <w:abstractNumId w:val="19"/>
  </w:num>
  <w:num w:numId="22">
    <w:abstractNumId w:val="16"/>
  </w:num>
  <w:num w:numId="23">
    <w:abstractNumId w:val="5"/>
  </w:num>
  <w:num w:numId="24">
    <w:abstractNumId w:val="28"/>
  </w:num>
  <w:num w:numId="25">
    <w:abstractNumId w:val="13"/>
  </w:num>
  <w:num w:numId="26">
    <w:abstractNumId w:val="15"/>
  </w:num>
  <w:num w:numId="27">
    <w:abstractNumId w:val="12"/>
  </w:num>
  <w:num w:numId="28">
    <w:abstractNumId w:val="14"/>
  </w:num>
  <w:num w:numId="29">
    <w:abstractNumId w:val="4"/>
  </w:num>
  <w:num w:numId="30">
    <w:abstractNumId w:val="26"/>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4"/>
    <w:footnote w:id="5"/>
  </w:footnotePr>
  <w:endnotePr>
    <w:endnote w:id="0"/>
    <w:endnote w:id="1"/>
  </w:endnotePr>
  <w:compat>
    <w:compatSetting w:name="compatibilityMode" w:uri="http://schemas.microsoft.com/office/word" w:val="14"/>
  </w:compat>
  <w:rsids>
    <w:rsidRoot w:val="002018B5"/>
    <w:rsid w:val="00007FB3"/>
    <w:rsid w:val="000275E7"/>
    <w:rsid w:val="000438DA"/>
    <w:rsid w:val="000A3073"/>
    <w:rsid w:val="000C0968"/>
    <w:rsid w:val="00125D6B"/>
    <w:rsid w:val="00186B13"/>
    <w:rsid w:val="002018B5"/>
    <w:rsid w:val="002F1A51"/>
    <w:rsid w:val="0033354B"/>
    <w:rsid w:val="0036407F"/>
    <w:rsid w:val="003D0129"/>
    <w:rsid w:val="00431ECA"/>
    <w:rsid w:val="0056140B"/>
    <w:rsid w:val="00573112"/>
    <w:rsid w:val="005E2C21"/>
    <w:rsid w:val="00612D09"/>
    <w:rsid w:val="006C4B14"/>
    <w:rsid w:val="006E298E"/>
    <w:rsid w:val="007216A2"/>
    <w:rsid w:val="00767C30"/>
    <w:rsid w:val="007E23E5"/>
    <w:rsid w:val="008012F1"/>
    <w:rsid w:val="008876DF"/>
    <w:rsid w:val="009115FB"/>
    <w:rsid w:val="009436F8"/>
    <w:rsid w:val="00950797"/>
    <w:rsid w:val="009E3703"/>
    <w:rsid w:val="00A726AE"/>
    <w:rsid w:val="00AD3309"/>
    <w:rsid w:val="00B07718"/>
    <w:rsid w:val="00B34390"/>
    <w:rsid w:val="00B65FE4"/>
    <w:rsid w:val="00B75256"/>
    <w:rsid w:val="00C4725C"/>
    <w:rsid w:val="00C74EB6"/>
    <w:rsid w:val="00CC758F"/>
    <w:rsid w:val="00D348DB"/>
    <w:rsid w:val="00D43444"/>
    <w:rsid w:val="00D6536F"/>
    <w:rsid w:val="00D97660"/>
    <w:rsid w:val="00DA12D4"/>
    <w:rsid w:val="00DA6126"/>
    <w:rsid w:val="00E071FA"/>
    <w:rsid w:val="00E92BF9"/>
    <w:rsid w:val="00EE6EED"/>
    <w:rsid w:val="00F05DD1"/>
    <w:rsid w:val="00F43335"/>
    <w:rsid w:val="2B135EA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99" w:semiHidden="0" w:name="Body Text 2"/>
    <w:lsdException w:qFormat="1" w:unhideWhenUsed="0" w:uiPriority="99" w:semiHidden="0" w:name="Body Text 3"/>
    <w:lsdException w:unhideWhenUsed="0" w:uiPriority="99" w:semiHidden="0"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sdException w:qFormat="1" w:unhideWhenUsed="0" w:uiPriority="0" w:semiHidden="0" w:name="Quote"/>
  </w:latentStyles>
  <w:style w:type="paragraph" w:default="1" w:styleId="1">
    <w:name w:val="Normal"/>
    <w:qFormat/>
    <w:uiPriority w:val="0"/>
    <w:pPr>
      <w:spacing w:after="160" w:line="259" w:lineRule="auto"/>
    </w:pPr>
    <w:rPr>
      <w:rFonts w:ascii="Calibri" w:hAnsi="Calibri" w:eastAsia="Calibri" w:cs="Calibri"/>
      <w:sz w:val="22"/>
      <w:szCs w:val="22"/>
      <w:lang w:val="pt-BR" w:eastAsia="pt-BR" w:bidi="ar-SA"/>
    </w:rPr>
  </w:style>
  <w:style w:type="paragraph" w:styleId="2">
    <w:name w:val="heading 1"/>
    <w:basedOn w:val="1"/>
    <w:next w:val="1"/>
    <w:link w:val="38"/>
    <w:qFormat/>
    <w:uiPriority w:val="9"/>
    <w:pPr>
      <w:keepNext/>
      <w:keepLines/>
      <w:spacing w:before="240" w:after="0"/>
      <w:ind w:left="360" w:hanging="360"/>
      <w:outlineLvl w:val="0"/>
    </w:pPr>
    <w:rPr>
      <w:rFonts w:ascii="Arial" w:hAnsi="Arial" w:eastAsiaTheme="majorEastAsia" w:cstheme="majorBidi"/>
      <w:b/>
      <w:sz w:val="20"/>
      <w:szCs w:val="32"/>
    </w:rPr>
  </w:style>
  <w:style w:type="paragraph" w:styleId="3">
    <w:name w:val="heading 2"/>
    <w:basedOn w:val="1"/>
    <w:next w:val="1"/>
    <w:link w:val="39"/>
    <w:unhideWhenUsed/>
    <w:qFormat/>
    <w:uiPriority w:val="9"/>
    <w:pPr>
      <w:keepNext/>
      <w:keepLines/>
      <w:spacing w:before="40" w:after="0"/>
      <w:ind w:left="360" w:hanging="360"/>
      <w:outlineLvl w:val="1"/>
    </w:pPr>
    <w:rPr>
      <w:rFonts w:ascii="Arial" w:hAnsi="Arial" w:eastAsiaTheme="majorEastAsia" w:cstheme="majorBidi"/>
      <w:sz w:val="20"/>
      <w:szCs w:val="26"/>
    </w:rPr>
  </w:style>
  <w:style w:type="paragraph" w:styleId="4">
    <w:name w:val="heading 3"/>
    <w:basedOn w:val="1"/>
    <w:next w:val="1"/>
    <w:link w:val="40"/>
    <w:unhideWhenUsed/>
    <w:qFormat/>
    <w:uiPriority w:val="9"/>
    <w:pPr>
      <w:keepNext/>
      <w:keepLines/>
      <w:spacing w:before="40" w:after="0"/>
      <w:ind w:left="360" w:hanging="450"/>
      <w:outlineLvl w:val="2"/>
    </w:pPr>
    <w:rPr>
      <w:rFonts w:ascii="Arial" w:hAnsi="Arial" w:eastAsiaTheme="majorEastAsia" w:cstheme="majorBidi"/>
      <w:sz w:val="20"/>
      <w:szCs w:val="24"/>
    </w:rPr>
  </w:style>
  <w:style w:type="paragraph" w:styleId="5">
    <w:name w:val="heading 4"/>
    <w:basedOn w:val="1"/>
    <w:next w:val="1"/>
    <w:link w:val="42"/>
    <w:qFormat/>
    <w:uiPriority w:val="9"/>
    <w:pPr>
      <w:keepNext/>
      <w:keepLines/>
      <w:spacing w:before="40" w:after="0"/>
      <w:ind w:left="864" w:hanging="864"/>
      <w:outlineLvl w:val="3"/>
    </w:pPr>
    <w:rPr>
      <w:rFonts w:ascii="Cambria" w:hAnsi="Cambria" w:eastAsia="MS Gothic" w:cs="Times New Roman"/>
      <w:i/>
      <w:iCs/>
      <w:color w:val="365F91"/>
      <w:sz w:val="20"/>
      <w:szCs w:val="20"/>
    </w:rPr>
  </w:style>
  <w:style w:type="paragraph" w:styleId="6">
    <w:name w:val="heading 5"/>
    <w:basedOn w:val="1"/>
    <w:next w:val="1"/>
    <w:link w:val="49"/>
    <w:qFormat/>
    <w:uiPriority w:val="9"/>
    <w:pPr>
      <w:keepNext/>
      <w:widowControl w:val="0"/>
      <w:autoSpaceDE w:val="0"/>
      <w:autoSpaceDN w:val="0"/>
      <w:adjustRightInd w:val="0"/>
      <w:spacing w:before="120" w:after="0" w:line="240" w:lineRule="auto"/>
      <w:ind w:right="-74"/>
      <w:jc w:val="center"/>
      <w:outlineLvl w:val="4"/>
    </w:pPr>
    <w:rPr>
      <w:rFonts w:ascii="Arial" w:hAnsi="Arial" w:eastAsia="Times New Roman" w:cs="Arial"/>
      <w:b/>
      <w:bCs/>
      <w:color w:val="000000"/>
      <w:sz w:val="21"/>
      <w:szCs w:val="18"/>
      <w:u w:val="single"/>
    </w:rPr>
  </w:style>
  <w:style w:type="paragraph" w:styleId="7">
    <w:name w:val="heading 6"/>
    <w:basedOn w:val="1"/>
    <w:next w:val="1"/>
    <w:link w:val="44"/>
    <w:qFormat/>
    <w:uiPriority w:val="9"/>
    <w:pPr>
      <w:keepNext/>
      <w:keepLines/>
      <w:spacing w:before="40" w:after="0"/>
      <w:ind w:left="1152" w:hanging="1152"/>
      <w:outlineLvl w:val="5"/>
    </w:pPr>
    <w:rPr>
      <w:rFonts w:ascii="Cambria" w:hAnsi="Cambria" w:eastAsia="MS Gothic" w:cs="Times New Roman"/>
      <w:color w:val="243F60"/>
      <w:sz w:val="20"/>
      <w:szCs w:val="20"/>
    </w:rPr>
  </w:style>
  <w:style w:type="paragraph" w:styleId="8">
    <w:name w:val="heading 7"/>
    <w:basedOn w:val="1"/>
    <w:next w:val="1"/>
    <w:link w:val="50"/>
    <w:qFormat/>
    <w:uiPriority w:val="9"/>
    <w:pPr>
      <w:keepNext/>
      <w:spacing w:before="120" w:after="0" w:line="240" w:lineRule="auto"/>
      <w:outlineLvl w:val="6"/>
    </w:pPr>
    <w:rPr>
      <w:rFonts w:ascii="Arial" w:hAnsi="Arial" w:eastAsia="Times New Roman" w:cs="Arial"/>
      <w:b/>
      <w:bCs/>
      <w:sz w:val="21"/>
      <w:szCs w:val="20"/>
    </w:rPr>
  </w:style>
  <w:style w:type="paragraph" w:styleId="9">
    <w:name w:val="heading 8"/>
    <w:basedOn w:val="1"/>
    <w:next w:val="1"/>
    <w:link w:val="51"/>
    <w:qFormat/>
    <w:uiPriority w:val="9"/>
    <w:pPr>
      <w:keepNext/>
      <w:spacing w:before="240" w:after="0" w:line="340" w:lineRule="atLeast"/>
      <w:jc w:val="both"/>
      <w:outlineLvl w:val="7"/>
    </w:pPr>
    <w:rPr>
      <w:rFonts w:ascii="Arial" w:hAnsi="Arial" w:eastAsia="Times New Roman" w:cs="Arial"/>
      <w:b/>
      <w:sz w:val="21"/>
      <w:szCs w:val="24"/>
    </w:rPr>
  </w:style>
  <w:style w:type="paragraph" w:styleId="10">
    <w:name w:val="heading 9"/>
    <w:basedOn w:val="1"/>
    <w:next w:val="1"/>
    <w:link w:val="47"/>
    <w:qFormat/>
    <w:uiPriority w:val="99"/>
    <w:pPr>
      <w:keepNext/>
      <w:keepLines/>
      <w:spacing w:before="40" w:after="0"/>
      <w:ind w:left="1584" w:hanging="1584"/>
      <w:outlineLvl w:val="8"/>
    </w:pPr>
    <w:rPr>
      <w:rFonts w:ascii="Cambria" w:hAnsi="Cambria" w:eastAsia="MS Gothic" w:cs="Times New Roman"/>
      <w:i/>
      <w:iCs/>
      <w:color w:val="272727"/>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qFormat/>
    <w:uiPriority w:val="22"/>
    <w:rPr>
      <w:b/>
      <w:bCs/>
    </w:rPr>
  </w:style>
  <w:style w:type="character" w:styleId="14">
    <w:name w:val="annotation reference"/>
    <w:basedOn w:val="11"/>
    <w:unhideWhenUsed/>
    <w:qFormat/>
    <w:uiPriority w:val="99"/>
    <w:rPr>
      <w:sz w:val="16"/>
      <w:szCs w:val="16"/>
    </w:rPr>
  </w:style>
  <w:style w:type="character" w:styleId="15">
    <w:name w:val="Emphasis"/>
    <w:qFormat/>
    <w:uiPriority w:val="20"/>
    <w:rPr>
      <w:i/>
      <w:iCs/>
    </w:rPr>
  </w:style>
  <w:style w:type="character" w:styleId="16">
    <w:name w:val="footnote reference"/>
    <w:semiHidden/>
    <w:unhideWhenUsed/>
    <w:qFormat/>
    <w:uiPriority w:val="99"/>
    <w:rPr>
      <w:vertAlign w:val="superscript"/>
    </w:rPr>
  </w:style>
  <w:style w:type="character" w:styleId="17">
    <w:name w:val="Hyperlink"/>
    <w:basedOn w:val="11"/>
    <w:uiPriority w:val="99"/>
    <w:rPr>
      <w:rFonts w:cs="Times New Roman"/>
      <w:color w:val="0000FF"/>
      <w:u w:val="single"/>
    </w:rPr>
  </w:style>
  <w:style w:type="paragraph" w:styleId="18">
    <w:name w:val="Body Text"/>
    <w:basedOn w:val="1"/>
    <w:link w:val="53"/>
    <w:qFormat/>
    <w:uiPriority w:val="0"/>
    <w:pPr>
      <w:suppressAutoHyphens/>
      <w:spacing w:after="0" w:line="240" w:lineRule="auto"/>
      <w:jc w:val="both"/>
    </w:pPr>
    <w:rPr>
      <w:rFonts w:ascii="Arial" w:hAnsi="Arial" w:eastAsia="Times New Roman" w:cs="Times New Roman"/>
      <w:szCs w:val="20"/>
      <w:lang w:eastAsia="ar-SA"/>
    </w:rPr>
  </w:style>
  <w:style w:type="paragraph" w:styleId="19">
    <w:name w:val="annotation text"/>
    <w:basedOn w:val="1"/>
    <w:link w:val="68"/>
    <w:unhideWhenUsed/>
    <w:qFormat/>
    <w:uiPriority w:val="99"/>
    <w:pPr>
      <w:spacing w:after="240" w:line="240" w:lineRule="auto"/>
      <w:ind w:left="900"/>
      <w:jc w:val="both"/>
    </w:pPr>
    <w:rPr>
      <w:rFonts w:ascii="Arial" w:hAnsi="Arial" w:eastAsia="Times New Roman" w:cs="Arial"/>
      <w:sz w:val="20"/>
      <w:szCs w:val="20"/>
    </w:rPr>
  </w:style>
  <w:style w:type="paragraph" w:styleId="20">
    <w:name w:val="Body Text Indent 2"/>
    <w:basedOn w:val="1"/>
    <w:link w:val="56"/>
    <w:uiPriority w:val="99"/>
    <w:pPr>
      <w:spacing w:before="120" w:after="0" w:line="240" w:lineRule="auto"/>
      <w:ind w:left="1080" w:hanging="540"/>
      <w:jc w:val="both"/>
    </w:pPr>
    <w:rPr>
      <w:rFonts w:ascii="Arial" w:hAnsi="Arial" w:eastAsia="Times New Roman" w:cs="Arial"/>
      <w:color w:val="000000"/>
      <w:szCs w:val="18"/>
    </w:rPr>
  </w:style>
  <w:style w:type="paragraph" w:styleId="21">
    <w:name w:val="Title"/>
    <w:basedOn w:val="1"/>
    <w:next w:val="18"/>
    <w:link w:val="113"/>
    <w:qFormat/>
    <w:uiPriority w:val="10"/>
    <w:pPr>
      <w:suppressAutoHyphens/>
      <w:overflowPunct w:val="0"/>
      <w:spacing w:after="0" w:line="240" w:lineRule="auto"/>
      <w:ind w:left="450" w:hanging="450"/>
      <w:jc w:val="both"/>
    </w:pPr>
    <w:rPr>
      <w:rFonts w:eastAsia="Times New Roman"/>
      <w:b/>
      <w:lang w:eastAsia="zh-CN"/>
    </w:rPr>
  </w:style>
  <w:style w:type="paragraph" w:styleId="22">
    <w:name w:val="Normal (Web)"/>
    <w:basedOn w:val="1"/>
    <w:unhideWhenUsed/>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styleId="23">
    <w:name w:val="Plain Text"/>
    <w:basedOn w:val="1"/>
    <w:link w:val="59"/>
    <w:qFormat/>
    <w:uiPriority w:val="99"/>
    <w:pPr>
      <w:spacing w:after="0" w:line="240" w:lineRule="auto"/>
    </w:pPr>
    <w:rPr>
      <w:rFonts w:ascii="Courier New" w:hAnsi="Courier New" w:eastAsia="Times New Roman" w:cs="Times New Roman"/>
      <w:sz w:val="20"/>
      <w:szCs w:val="20"/>
    </w:rPr>
  </w:style>
  <w:style w:type="paragraph" w:styleId="24">
    <w:name w:val="Body Text 3"/>
    <w:basedOn w:val="1"/>
    <w:link w:val="60"/>
    <w:qFormat/>
    <w:uiPriority w:val="99"/>
    <w:pPr>
      <w:spacing w:after="0" w:line="340" w:lineRule="atLeast"/>
      <w:jc w:val="both"/>
    </w:pPr>
    <w:rPr>
      <w:rFonts w:ascii="Arial" w:hAnsi="Arial" w:eastAsia="Times New Roman" w:cs="Arial"/>
      <w:sz w:val="21"/>
      <w:szCs w:val="24"/>
    </w:rPr>
  </w:style>
  <w:style w:type="paragraph" w:styleId="25">
    <w:name w:val="Body Text 2"/>
    <w:basedOn w:val="1"/>
    <w:link w:val="57"/>
    <w:uiPriority w:val="99"/>
    <w:pPr>
      <w:spacing w:after="0" w:line="240" w:lineRule="auto"/>
    </w:pPr>
    <w:rPr>
      <w:rFonts w:ascii="Arial" w:hAnsi="Arial" w:eastAsia="Times New Roman" w:cs="Arial"/>
      <w:sz w:val="18"/>
      <w:szCs w:val="24"/>
    </w:rPr>
  </w:style>
  <w:style w:type="paragraph" w:styleId="26">
    <w:name w:val="header"/>
    <w:basedOn w:val="1"/>
    <w:link w:val="36"/>
    <w:unhideWhenUsed/>
    <w:uiPriority w:val="0"/>
    <w:pPr>
      <w:tabs>
        <w:tab w:val="center" w:pos="4252"/>
        <w:tab w:val="right" w:pos="8504"/>
      </w:tabs>
      <w:spacing w:after="0" w:line="240" w:lineRule="auto"/>
    </w:pPr>
  </w:style>
  <w:style w:type="paragraph" w:styleId="27">
    <w:name w:val="annotation subject"/>
    <w:basedOn w:val="19"/>
    <w:next w:val="19"/>
    <w:link w:val="69"/>
    <w:semiHidden/>
    <w:unhideWhenUsed/>
    <w:uiPriority w:val="99"/>
    <w:rPr>
      <w:b/>
      <w:bCs/>
    </w:rPr>
  </w:style>
  <w:style w:type="paragraph" w:styleId="28">
    <w:name w:val="footer"/>
    <w:basedOn w:val="1"/>
    <w:link w:val="37"/>
    <w:unhideWhenUsed/>
    <w:uiPriority w:val="99"/>
    <w:pPr>
      <w:tabs>
        <w:tab w:val="center" w:pos="4252"/>
        <w:tab w:val="right" w:pos="8504"/>
      </w:tabs>
      <w:spacing w:after="0" w:line="240" w:lineRule="auto"/>
    </w:pPr>
  </w:style>
  <w:style w:type="paragraph" w:styleId="29">
    <w:name w:val="Balloon Text"/>
    <w:basedOn w:val="1"/>
    <w:link w:val="63"/>
    <w:unhideWhenUsed/>
    <w:uiPriority w:val="99"/>
    <w:pPr>
      <w:widowControl w:val="0"/>
      <w:spacing w:after="0" w:line="240" w:lineRule="auto"/>
    </w:pPr>
    <w:rPr>
      <w:rFonts w:ascii="Lucida Grande" w:hAnsi="Lucida Grande" w:cs="Times New Roman"/>
      <w:sz w:val="18"/>
      <w:szCs w:val="18"/>
      <w:lang w:val="zh-CN" w:eastAsia="zh-CN"/>
    </w:rPr>
  </w:style>
  <w:style w:type="paragraph" w:styleId="3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31">
    <w:name w:val="footnote text"/>
    <w:basedOn w:val="1"/>
    <w:link w:val="83"/>
    <w:unhideWhenUsed/>
    <w:qFormat/>
    <w:uiPriority w:val="99"/>
    <w:pPr>
      <w:spacing w:after="0" w:line="240" w:lineRule="auto"/>
    </w:pPr>
    <w:rPr>
      <w:rFonts w:ascii="Franklin Gothic Book" w:hAnsi="Franklin Gothic Book" w:eastAsia="Franklin Gothic Book" w:cs="Times New Roman"/>
      <w:sz w:val="20"/>
      <w:szCs w:val="20"/>
    </w:rPr>
  </w:style>
  <w:style w:type="paragraph" w:styleId="32">
    <w:name w:val="List Bullet"/>
    <w:basedOn w:val="1"/>
    <w:unhideWhenUsed/>
    <w:uiPriority w:val="99"/>
    <w:pPr>
      <w:spacing w:after="200" w:line="276" w:lineRule="auto"/>
      <w:ind w:left="360" w:hanging="360"/>
      <w:contextualSpacing/>
    </w:pPr>
    <w:rPr>
      <w:rFonts w:ascii="Franklin Gothic Book" w:hAnsi="Franklin Gothic Book" w:eastAsia="Franklin Gothic Book" w:cs="Times New Roman"/>
    </w:rPr>
  </w:style>
  <w:style w:type="paragraph" w:styleId="33">
    <w:name w:val="Body Text Indent"/>
    <w:basedOn w:val="1"/>
    <w:link w:val="55"/>
    <w:uiPriority w:val="99"/>
    <w:pPr>
      <w:spacing w:before="120" w:after="0" w:line="240" w:lineRule="auto"/>
      <w:ind w:left="540" w:hanging="360"/>
      <w:jc w:val="both"/>
    </w:pPr>
    <w:rPr>
      <w:rFonts w:ascii="Arial" w:hAnsi="Arial" w:eastAsia="Times New Roman" w:cs="Arial"/>
      <w:color w:val="000000"/>
      <w:szCs w:val="18"/>
    </w:rPr>
  </w:style>
  <w:style w:type="table" w:styleId="34">
    <w:name w:val="Table Grid"/>
    <w:basedOn w:val="12"/>
    <w:uiPriority w:val="39"/>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5">
    <w:name w:val="TableNormal"/>
    <w:qFormat/>
    <w:uiPriority w:val="0"/>
    <w:tblPr>
      <w:tblCellMar>
        <w:top w:w="100" w:type="dxa"/>
        <w:left w:w="100" w:type="dxa"/>
        <w:bottom w:w="100" w:type="dxa"/>
        <w:right w:w="100" w:type="dxa"/>
      </w:tblCellMar>
    </w:tblPr>
  </w:style>
  <w:style w:type="character" w:customStyle="1" w:styleId="36">
    <w:name w:val="Cabeçalho Char"/>
    <w:basedOn w:val="11"/>
    <w:link w:val="26"/>
    <w:uiPriority w:val="0"/>
  </w:style>
  <w:style w:type="character" w:customStyle="1" w:styleId="37">
    <w:name w:val="Rodapé Char"/>
    <w:basedOn w:val="11"/>
    <w:link w:val="28"/>
    <w:uiPriority w:val="99"/>
  </w:style>
  <w:style w:type="character" w:customStyle="1" w:styleId="38">
    <w:name w:val="Título 1 Char"/>
    <w:basedOn w:val="11"/>
    <w:link w:val="2"/>
    <w:uiPriority w:val="9"/>
    <w:rPr>
      <w:rFonts w:ascii="Arial" w:hAnsi="Arial" w:eastAsiaTheme="majorEastAsia" w:cstheme="majorBidi"/>
      <w:b/>
      <w:sz w:val="20"/>
      <w:szCs w:val="32"/>
    </w:rPr>
  </w:style>
  <w:style w:type="character" w:customStyle="1" w:styleId="39">
    <w:name w:val="Título 2 Char"/>
    <w:basedOn w:val="11"/>
    <w:link w:val="3"/>
    <w:uiPriority w:val="9"/>
    <w:rPr>
      <w:rFonts w:ascii="Arial" w:hAnsi="Arial" w:eastAsiaTheme="majorEastAsia" w:cstheme="majorBidi"/>
      <w:sz w:val="20"/>
      <w:szCs w:val="26"/>
    </w:rPr>
  </w:style>
  <w:style w:type="character" w:customStyle="1" w:styleId="40">
    <w:name w:val="Título 3 Char"/>
    <w:basedOn w:val="11"/>
    <w:link w:val="4"/>
    <w:uiPriority w:val="9"/>
    <w:rPr>
      <w:rFonts w:ascii="Arial" w:hAnsi="Arial" w:eastAsiaTheme="majorEastAsia" w:cstheme="majorBidi"/>
      <w:sz w:val="20"/>
      <w:szCs w:val="24"/>
    </w:rPr>
  </w:style>
  <w:style w:type="paragraph" w:styleId="41">
    <w:name w:val="List Paragraph"/>
    <w:basedOn w:val="1"/>
    <w:link w:val="75"/>
    <w:qFormat/>
    <w:uiPriority w:val="34"/>
    <w:pPr>
      <w:ind w:left="720"/>
      <w:contextualSpacing/>
    </w:pPr>
  </w:style>
  <w:style w:type="character" w:customStyle="1" w:styleId="42">
    <w:name w:val="Título 4 Char"/>
    <w:basedOn w:val="11"/>
    <w:link w:val="5"/>
    <w:uiPriority w:val="9"/>
    <w:rPr>
      <w:rFonts w:ascii="Cambria" w:hAnsi="Cambria" w:eastAsia="MS Gothic" w:cs="Times New Roman"/>
      <w:i/>
      <w:iCs/>
      <w:color w:val="365F91"/>
      <w:sz w:val="20"/>
      <w:szCs w:val="20"/>
      <w:lang w:eastAsia="pt-BR"/>
    </w:rPr>
  </w:style>
  <w:style w:type="character" w:customStyle="1" w:styleId="43">
    <w:name w:val="Título 5 Char"/>
    <w:basedOn w:val="11"/>
    <w:semiHidden/>
    <w:uiPriority w:val="9"/>
    <w:rPr>
      <w:rFonts w:asciiTheme="majorHAnsi" w:hAnsiTheme="majorHAnsi" w:eastAsiaTheme="majorEastAsia" w:cstheme="majorBidi"/>
      <w:color w:val="2F5597" w:themeColor="accent1" w:themeShade="BF"/>
    </w:rPr>
  </w:style>
  <w:style w:type="character" w:customStyle="1" w:styleId="44">
    <w:name w:val="Título 6 Char"/>
    <w:basedOn w:val="11"/>
    <w:link w:val="7"/>
    <w:uiPriority w:val="9"/>
    <w:rPr>
      <w:rFonts w:ascii="Cambria" w:hAnsi="Cambria" w:eastAsia="MS Gothic" w:cs="Times New Roman"/>
      <w:color w:val="243F60"/>
      <w:sz w:val="20"/>
      <w:szCs w:val="20"/>
      <w:lang w:eastAsia="pt-BR"/>
    </w:rPr>
  </w:style>
  <w:style w:type="character" w:customStyle="1" w:styleId="45">
    <w:name w:val="Título 7 Char"/>
    <w:basedOn w:val="11"/>
    <w:semiHidden/>
    <w:uiPriority w:val="9"/>
    <w:rPr>
      <w:rFonts w:asciiTheme="majorHAnsi" w:hAnsiTheme="majorHAnsi" w:eastAsiaTheme="majorEastAsia" w:cstheme="majorBidi"/>
      <w:i/>
      <w:iCs/>
      <w:color w:val="203864" w:themeColor="accent1" w:themeShade="80"/>
    </w:rPr>
  </w:style>
  <w:style w:type="character" w:customStyle="1" w:styleId="46">
    <w:name w:val="Título 8 Char"/>
    <w:basedOn w:val="11"/>
    <w:semiHidden/>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47">
    <w:name w:val="Título 9 Char"/>
    <w:basedOn w:val="11"/>
    <w:link w:val="10"/>
    <w:uiPriority w:val="99"/>
    <w:rPr>
      <w:rFonts w:ascii="Cambria" w:hAnsi="Cambria" w:eastAsia="MS Gothic" w:cs="Times New Roman"/>
      <w:i/>
      <w:iCs/>
      <w:color w:val="272727"/>
      <w:sz w:val="21"/>
      <w:szCs w:val="21"/>
      <w:lang w:eastAsia="pt-BR"/>
    </w:rPr>
  </w:style>
  <w:style w:type="character" w:customStyle="1" w:styleId="48">
    <w:name w:val="Título 1 Char1"/>
    <w:basedOn w:val="11"/>
    <w:locked/>
    <w:uiPriority w:val="9"/>
    <w:rPr>
      <w:rFonts w:ascii="Times New Roman" w:hAnsi="Times New Roman" w:eastAsia="Times New Roman" w:cs="Times New Roman"/>
      <w:b/>
      <w:sz w:val="24"/>
      <w:szCs w:val="24"/>
      <w:lang w:eastAsia="pt-BR"/>
    </w:rPr>
  </w:style>
  <w:style w:type="character" w:customStyle="1" w:styleId="49">
    <w:name w:val="Título 5 Char1"/>
    <w:basedOn w:val="11"/>
    <w:link w:val="6"/>
    <w:locked/>
    <w:uiPriority w:val="9"/>
    <w:rPr>
      <w:rFonts w:ascii="Arial" w:hAnsi="Arial" w:eastAsia="Times New Roman" w:cs="Arial"/>
      <w:b/>
      <w:bCs/>
      <w:color w:val="000000"/>
      <w:sz w:val="21"/>
      <w:szCs w:val="18"/>
      <w:u w:val="single"/>
      <w:lang w:eastAsia="pt-BR"/>
    </w:rPr>
  </w:style>
  <w:style w:type="character" w:customStyle="1" w:styleId="50">
    <w:name w:val="Título 7 Char1"/>
    <w:basedOn w:val="11"/>
    <w:link w:val="8"/>
    <w:locked/>
    <w:uiPriority w:val="9"/>
    <w:rPr>
      <w:rFonts w:ascii="Arial" w:hAnsi="Arial" w:eastAsia="Times New Roman" w:cs="Arial"/>
      <w:b/>
      <w:bCs/>
      <w:sz w:val="21"/>
      <w:szCs w:val="20"/>
      <w:lang w:eastAsia="pt-BR"/>
    </w:rPr>
  </w:style>
  <w:style w:type="character" w:customStyle="1" w:styleId="51">
    <w:name w:val="Título 8 Char1"/>
    <w:basedOn w:val="11"/>
    <w:link w:val="9"/>
    <w:locked/>
    <w:uiPriority w:val="9"/>
    <w:rPr>
      <w:rFonts w:ascii="Arial" w:hAnsi="Arial" w:eastAsia="Times New Roman" w:cs="Arial"/>
      <w:b/>
      <w:sz w:val="21"/>
      <w:szCs w:val="24"/>
      <w:lang w:eastAsia="pt-BR"/>
    </w:rPr>
  </w:style>
  <w:style w:type="character" w:customStyle="1" w:styleId="52">
    <w:name w:val="Corpo de texto Char"/>
    <w:basedOn w:val="11"/>
    <w:uiPriority w:val="0"/>
  </w:style>
  <w:style w:type="character" w:customStyle="1" w:styleId="53">
    <w:name w:val="Corpo de texto Char1"/>
    <w:basedOn w:val="11"/>
    <w:link w:val="18"/>
    <w:locked/>
    <w:uiPriority w:val="1"/>
    <w:rPr>
      <w:rFonts w:ascii="Arial" w:hAnsi="Arial" w:eastAsia="Times New Roman" w:cs="Times New Roman"/>
      <w:szCs w:val="20"/>
      <w:lang w:eastAsia="ar-SA"/>
    </w:rPr>
  </w:style>
  <w:style w:type="character" w:customStyle="1" w:styleId="54">
    <w:name w:val="Recuo de corpo de texto Char"/>
    <w:basedOn w:val="11"/>
    <w:uiPriority w:val="0"/>
  </w:style>
  <w:style w:type="character" w:customStyle="1" w:styleId="55">
    <w:name w:val="Recuo de corpo de texto Char1"/>
    <w:basedOn w:val="11"/>
    <w:link w:val="33"/>
    <w:locked/>
    <w:uiPriority w:val="99"/>
    <w:rPr>
      <w:rFonts w:ascii="Arial" w:hAnsi="Arial" w:eastAsia="Times New Roman" w:cs="Arial"/>
      <w:color w:val="000000"/>
      <w:szCs w:val="18"/>
      <w:lang w:eastAsia="pt-BR"/>
    </w:rPr>
  </w:style>
  <w:style w:type="character" w:customStyle="1" w:styleId="56">
    <w:name w:val="Recuo de corpo de texto 2 Char"/>
    <w:basedOn w:val="11"/>
    <w:link w:val="20"/>
    <w:uiPriority w:val="99"/>
    <w:rPr>
      <w:rFonts w:ascii="Arial" w:hAnsi="Arial" w:eastAsia="Times New Roman" w:cs="Arial"/>
      <w:color w:val="000000"/>
      <w:szCs w:val="18"/>
      <w:lang w:eastAsia="pt-BR"/>
    </w:rPr>
  </w:style>
  <w:style w:type="character" w:customStyle="1" w:styleId="57">
    <w:name w:val="Corpo de texto 2 Char"/>
    <w:basedOn w:val="11"/>
    <w:link w:val="25"/>
    <w:qFormat/>
    <w:uiPriority w:val="99"/>
    <w:rPr>
      <w:rFonts w:ascii="Arial" w:hAnsi="Arial" w:eastAsia="Times New Roman" w:cs="Arial"/>
      <w:sz w:val="18"/>
      <w:szCs w:val="24"/>
      <w:lang w:eastAsia="pt-BR"/>
    </w:rPr>
  </w:style>
  <w:style w:type="character" w:customStyle="1" w:styleId="58">
    <w:name w:val="Texto sem Formatação Char"/>
    <w:basedOn w:val="11"/>
    <w:qFormat/>
    <w:uiPriority w:val="0"/>
    <w:rPr>
      <w:rFonts w:ascii="Consolas" w:hAnsi="Consolas"/>
      <w:sz w:val="21"/>
      <w:szCs w:val="21"/>
    </w:rPr>
  </w:style>
  <w:style w:type="character" w:customStyle="1" w:styleId="59">
    <w:name w:val="Texto sem Formatação Char1"/>
    <w:basedOn w:val="11"/>
    <w:link w:val="23"/>
    <w:qFormat/>
    <w:locked/>
    <w:uiPriority w:val="99"/>
    <w:rPr>
      <w:rFonts w:ascii="Courier New" w:hAnsi="Courier New" w:eastAsia="Times New Roman" w:cs="Times New Roman"/>
      <w:sz w:val="20"/>
      <w:szCs w:val="20"/>
      <w:lang w:eastAsia="pt-BR"/>
    </w:rPr>
  </w:style>
  <w:style w:type="character" w:customStyle="1" w:styleId="60">
    <w:name w:val="Corpo de texto 3 Char"/>
    <w:basedOn w:val="11"/>
    <w:link w:val="24"/>
    <w:qFormat/>
    <w:uiPriority w:val="99"/>
    <w:rPr>
      <w:rFonts w:ascii="Arial" w:hAnsi="Arial" w:eastAsia="Times New Roman" w:cs="Arial"/>
      <w:sz w:val="21"/>
      <w:szCs w:val="24"/>
      <w:lang w:eastAsia="pt-BR"/>
    </w:rPr>
  </w:style>
  <w:style w:type="table" w:customStyle="1" w:styleId="61">
    <w:name w:val="Table Normal1"/>
    <w:semiHidden/>
    <w:unhideWhenUsed/>
    <w:qFormat/>
    <w:uiPriority w:val="2"/>
    <w:pPr>
      <w:widowControl w:val="0"/>
      <w:spacing w:after="0" w:line="240" w:lineRule="auto"/>
    </w:pPr>
    <w:rPr>
      <w:rFonts w:cs="Times New Roman"/>
      <w:lang w:val="en-US"/>
    </w:rPr>
    <w:tblPr>
      <w:tblCellMar>
        <w:top w:w="0" w:type="dxa"/>
        <w:left w:w="0" w:type="dxa"/>
        <w:bottom w:w="0" w:type="dxa"/>
        <w:right w:w="0" w:type="dxa"/>
      </w:tblCellMar>
    </w:tblPr>
  </w:style>
  <w:style w:type="paragraph" w:customStyle="1" w:styleId="62">
    <w:name w:val="Table Paragraph"/>
    <w:basedOn w:val="1"/>
    <w:qFormat/>
    <w:uiPriority w:val="1"/>
    <w:pPr>
      <w:widowControl w:val="0"/>
      <w:spacing w:after="0" w:line="240" w:lineRule="auto"/>
    </w:pPr>
    <w:rPr>
      <w:rFonts w:cs="Times New Roman"/>
      <w:lang w:val="en-US"/>
    </w:rPr>
  </w:style>
  <w:style w:type="character" w:customStyle="1" w:styleId="63">
    <w:name w:val="Texto de balão Char"/>
    <w:basedOn w:val="11"/>
    <w:link w:val="29"/>
    <w:qFormat/>
    <w:uiPriority w:val="99"/>
    <w:rPr>
      <w:rFonts w:ascii="Lucida Grande" w:hAnsi="Lucida Grande" w:eastAsia="Calibri" w:cs="Times New Roman"/>
      <w:sz w:val="18"/>
      <w:szCs w:val="18"/>
      <w:lang w:val="zh-CN" w:eastAsia="zh-CN"/>
    </w:rPr>
  </w:style>
  <w:style w:type="paragraph" w:customStyle="1" w:styleId="64">
    <w:name w:val="List Paragraph2"/>
    <w:basedOn w:val="1"/>
    <w:qFormat/>
    <w:uiPriority w:val="0"/>
    <w:pPr>
      <w:spacing w:after="0" w:line="240" w:lineRule="auto"/>
      <w:ind w:left="708"/>
      <w:jc w:val="both"/>
    </w:pPr>
    <w:rPr>
      <w:rFonts w:ascii="Arial" w:hAnsi="Arial" w:eastAsia="Times New Roman" w:cs="Times New Roman"/>
      <w:sz w:val="20"/>
      <w:szCs w:val="24"/>
    </w:rPr>
  </w:style>
  <w:style w:type="paragraph" w:customStyle="1" w:styleId="65">
    <w:name w:val="Parágrafo da Lista1"/>
    <w:basedOn w:val="1"/>
    <w:qFormat/>
    <w:uiPriority w:val="0"/>
    <w:pPr>
      <w:spacing w:after="0" w:line="240" w:lineRule="auto"/>
      <w:ind w:left="720"/>
      <w:contextualSpacing/>
    </w:pPr>
    <w:rPr>
      <w:rFonts w:ascii="Times New Roman" w:hAnsi="Times New Roman" w:cs="Times New Roman"/>
      <w:sz w:val="24"/>
      <w:szCs w:val="24"/>
    </w:rPr>
  </w:style>
  <w:style w:type="paragraph" w:customStyle="1" w:styleId="66">
    <w:name w:val="Default"/>
    <w:qFormat/>
    <w:uiPriority w:val="0"/>
    <w:pPr>
      <w:widowControl w:val="0"/>
      <w:autoSpaceDE w:val="0"/>
      <w:autoSpaceDN w:val="0"/>
      <w:adjustRightInd w:val="0"/>
      <w:spacing w:after="0" w:line="240" w:lineRule="auto"/>
    </w:pPr>
    <w:rPr>
      <w:rFonts w:ascii="Trebuchet MS" w:hAnsi="Trebuchet MS" w:eastAsia="Calibri" w:cs="Trebuchet MS"/>
      <w:color w:val="000000"/>
      <w:sz w:val="24"/>
      <w:szCs w:val="24"/>
      <w:lang w:val="pt-BR" w:eastAsia="pt-BR" w:bidi="ar-SA"/>
    </w:rPr>
  </w:style>
  <w:style w:type="character" w:customStyle="1" w:styleId="67">
    <w:name w:val="apple-converted-space"/>
    <w:basedOn w:val="11"/>
    <w:uiPriority w:val="0"/>
  </w:style>
  <w:style w:type="character" w:customStyle="1" w:styleId="68">
    <w:name w:val="Texto de comentário Char"/>
    <w:basedOn w:val="11"/>
    <w:link w:val="19"/>
    <w:qFormat/>
    <w:uiPriority w:val="99"/>
    <w:rPr>
      <w:rFonts w:ascii="Arial" w:hAnsi="Arial" w:eastAsia="Times New Roman" w:cs="Arial"/>
      <w:sz w:val="20"/>
      <w:szCs w:val="20"/>
      <w:lang w:eastAsia="pt-BR"/>
    </w:rPr>
  </w:style>
  <w:style w:type="character" w:customStyle="1" w:styleId="69">
    <w:name w:val="Assunto do comentário Char"/>
    <w:basedOn w:val="68"/>
    <w:link w:val="27"/>
    <w:semiHidden/>
    <w:qFormat/>
    <w:uiPriority w:val="99"/>
    <w:rPr>
      <w:rFonts w:ascii="Arial" w:hAnsi="Arial" w:eastAsia="Times New Roman" w:cs="Arial"/>
      <w:b/>
      <w:bCs/>
      <w:sz w:val="20"/>
      <w:szCs w:val="20"/>
      <w:lang w:eastAsia="pt-BR"/>
    </w:rPr>
  </w:style>
  <w:style w:type="character" w:customStyle="1" w:styleId="70">
    <w:name w:val="Menção Pendente1"/>
    <w:basedOn w:val="11"/>
    <w:semiHidden/>
    <w:unhideWhenUsed/>
    <w:qFormat/>
    <w:uiPriority w:val="99"/>
    <w:rPr>
      <w:color w:val="605E5C"/>
      <w:shd w:val="clear" w:color="auto" w:fill="E1DFDD"/>
    </w:rPr>
  </w:style>
  <w:style w:type="table" w:customStyle="1" w:styleId="71">
    <w:name w:val="Table Normal"/>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72">
    <w:name w:val="Unresolved Mention"/>
    <w:basedOn w:val="11"/>
    <w:semiHidden/>
    <w:unhideWhenUsed/>
    <w:qFormat/>
    <w:uiPriority w:val="99"/>
    <w:rPr>
      <w:color w:val="605E5C"/>
      <w:shd w:val="clear" w:color="auto" w:fill="E1DFDD"/>
    </w:rPr>
  </w:style>
  <w:style w:type="character" w:customStyle="1" w:styleId="73">
    <w:name w:val="Sem Espaçamento Char"/>
    <w:link w:val="74"/>
    <w:qFormat/>
    <w:locked/>
    <w:uiPriority w:val="99"/>
    <w:rPr>
      <w:rFonts w:ascii="Times New Roman" w:hAnsi="Times New Roman" w:eastAsia="Times New Roman"/>
      <w:lang w:val="pt-PT"/>
    </w:rPr>
  </w:style>
  <w:style w:type="paragraph" w:styleId="74">
    <w:name w:val="No Spacing"/>
    <w:link w:val="73"/>
    <w:qFormat/>
    <w:uiPriority w:val="99"/>
    <w:pPr>
      <w:spacing w:after="0" w:line="240" w:lineRule="auto"/>
    </w:pPr>
    <w:rPr>
      <w:rFonts w:ascii="Times New Roman" w:hAnsi="Times New Roman" w:eastAsia="Times New Roman" w:cs="Calibri"/>
      <w:sz w:val="22"/>
      <w:szCs w:val="22"/>
      <w:lang w:val="pt-PT" w:eastAsia="pt-BR" w:bidi="ar-SA"/>
    </w:rPr>
  </w:style>
  <w:style w:type="character" w:customStyle="1" w:styleId="75">
    <w:name w:val="Parágrafo da Lista Char"/>
    <w:link w:val="41"/>
    <w:qFormat/>
    <w:locked/>
    <w:uiPriority w:val="99"/>
  </w:style>
  <w:style w:type="paragraph" w:customStyle="1" w:styleId="76">
    <w:name w:val="Standard"/>
    <w:qFormat/>
    <w:uiPriority w:val="0"/>
    <w:pPr>
      <w:suppressAutoHyphens/>
      <w:spacing w:after="0" w:line="240" w:lineRule="auto"/>
      <w:textAlignment w:val="baseline"/>
    </w:pPr>
    <w:rPr>
      <w:rFonts w:ascii="Times New Roman" w:hAnsi="Times New Roman" w:eastAsia="Times New Roman" w:cs="Times New Roman"/>
      <w:kern w:val="2"/>
      <w:sz w:val="20"/>
      <w:szCs w:val="20"/>
      <w:lang w:val="pt-BR" w:eastAsia="zh-CN" w:bidi="ar-SA"/>
    </w:rPr>
  </w:style>
  <w:style w:type="character" w:customStyle="1" w:styleId="77">
    <w:name w:val="WW8Num1z5"/>
    <w:qFormat/>
    <w:uiPriority w:val="0"/>
  </w:style>
  <w:style w:type="character" w:customStyle="1" w:styleId="78">
    <w:name w:val="Fonte parág. padrão1"/>
    <w:qFormat/>
    <w:uiPriority w:val="0"/>
  </w:style>
  <w:style w:type="paragraph" w:customStyle="1" w:styleId="79">
    <w:name w:val="Text body"/>
    <w:basedOn w:val="76"/>
    <w:qFormat/>
    <w:uiPriority w:val="0"/>
    <w:pPr>
      <w:spacing w:after="140" w:line="288" w:lineRule="auto"/>
    </w:pPr>
  </w:style>
  <w:style w:type="paragraph" w:customStyle="1" w:styleId="80">
    <w:name w:val="_Style 4"/>
    <w:basedOn w:val="76"/>
    <w:qFormat/>
    <w:uiPriority w:val="0"/>
    <w:pPr>
      <w:spacing w:after="200" w:line="276" w:lineRule="auto"/>
      <w:ind w:left="720"/>
    </w:pPr>
    <w:rPr>
      <w:rFonts w:ascii="Franklin Gothic Book" w:hAnsi="Franklin Gothic Book" w:eastAsia="Franklin Gothic Book" w:cs="Franklin Gothic Book"/>
      <w:sz w:val="22"/>
      <w:szCs w:val="22"/>
    </w:rPr>
  </w:style>
  <w:style w:type="character" w:customStyle="1" w:styleId="81">
    <w:name w:val="apple-tab-span"/>
    <w:basedOn w:val="11"/>
    <w:qFormat/>
    <w:uiPriority w:val="0"/>
  </w:style>
  <w:style w:type="paragraph" w:customStyle="1" w:styleId="82">
    <w:name w:val="Cabeçalho1"/>
    <w:basedOn w:val="76"/>
    <w:qFormat/>
    <w:uiPriority w:val="0"/>
    <w:pPr>
      <w:jc w:val="both"/>
      <w:textAlignment w:val="auto"/>
    </w:pPr>
    <w:rPr>
      <w:color w:val="00000A"/>
      <w:kern w:val="0"/>
      <w:sz w:val="24"/>
    </w:rPr>
  </w:style>
  <w:style w:type="character" w:customStyle="1" w:styleId="83">
    <w:name w:val="Texto de nota de rodapé Char"/>
    <w:basedOn w:val="11"/>
    <w:link w:val="31"/>
    <w:qFormat/>
    <w:uiPriority w:val="99"/>
    <w:rPr>
      <w:rFonts w:ascii="Franklin Gothic Book" w:hAnsi="Franklin Gothic Book" w:eastAsia="Franklin Gothic Book" w:cs="Times New Roman"/>
      <w:sz w:val="20"/>
      <w:szCs w:val="20"/>
    </w:rPr>
  </w:style>
  <w:style w:type="character" w:customStyle="1" w:styleId="84">
    <w:name w:val="tl8wme"/>
    <w:basedOn w:val="11"/>
    <w:uiPriority w:val="0"/>
  </w:style>
  <w:style w:type="character" w:customStyle="1" w:styleId="85">
    <w:name w:val="ur"/>
    <w:basedOn w:val="11"/>
    <w:uiPriority w:val="0"/>
  </w:style>
  <w:style w:type="character" w:customStyle="1" w:styleId="86">
    <w:name w:val="vpqmgb"/>
    <w:basedOn w:val="11"/>
    <w:uiPriority w:val="0"/>
  </w:style>
  <w:style w:type="character" w:customStyle="1" w:styleId="87">
    <w:name w:val="sv"/>
    <w:basedOn w:val="11"/>
    <w:uiPriority w:val="0"/>
  </w:style>
  <w:style w:type="character" w:customStyle="1" w:styleId="88">
    <w:name w:val="ListLabel 8"/>
    <w:qFormat/>
    <w:uiPriority w:val="0"/>
    <w:rPr>
      <w:b/>
    </w:rPr>
  </w:style>
  <w:style w:type="paragraph" w:customStyle="1" w:styleId="89">
    <w:name w:val="LO-normal"/>
    <w:qFormat/>
    <w:uiPriority w:val="0"/>
    <w:pPr>
      <w:widowControl w:val="0"/>
      <w:suppressAutoHyphens/>
      <w:autoSpaceDN w:val="0"/>
      <w:spacing w:after="0" w:line="240" w:lineRule="auto"/>
      <w:textAlignment w:val="baseline"/>
    </w:pPr>
    <w:rPr>
      <w:rFonts w:ascii="Times New Roman" w:hAnsi="Times New Roman" w:eastAsia="Times New Roman" w:cs="Times New Roman"/>
      <w:color w:val="000000"/>
      <w:kern w:val="3"/>
      <w:sz w:val="24"/>
      <w:szCs w:val="20"/>
      <w:lang w:val="pt-BR" w:eastAsia="pt-BR" w:bidi="ar-SA"/>
    </w:rPr>
  </w:style>
  <w:style w:type="character" w:customStyle="1" w:styleId="90">
    <w:name w:val="Texto de comentário Char1"/>
    <w:qFormat/>
    <w:uiPriority w:val="99"/>
    <w:rPr>
      <w:rFonts w:ascii="Times New Roman" w:hAnsi="Times New Roman" w:eastAsia="Times New Roman" w:cs="Times New Roman"/>
      <w:szCs w:val="20"/>
      <w:lang w:eastAsia="pt-BR"/>
    </w:rPr>
  </w:style>
  <w:style w:type="paragraph" w:styleId="91">
    <w:name w:val="Quote"/>
    <w:basedOn w:val="1"/>
    <w:next w:val="1"/>
    <w:link w:val="92"/>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cs="Times New Roman"/>
      <w:i/>
      <w:iCs/>
      <w:color w:val="000000"/>
      <w:sz w:val="20"/>
      <w:szCs w:val="24"/>
    </w:rPr>
  </w:style>
  <w:style w:type="character" w:customStyle="1" w:styleId="92">
    <w:name w:val="Citação Char"/>
    <w:basedOn w:val="11"/>
    <w:link w:val="91"/>
    <w:uiPriority w:val="0"/>
    <w:rPr>
      <w:rFonts w:ascii="Arial" w:hAnsi="Arial" w:eastAsia="Calibri" w:cs="Times New Roman"/>
      <w:i/>
      <w:iCs/>
      <w:color w:val="000000"/>
      <w:sz w:val="20"/>
      <w:szCs w:val="24"/>
      <w:shd w:val="clear" w:color="auto" w:fill="FFFFCC"/>
    </w:rPr>
  </w:style>
  <w:style w:type="character" w:customStyle="1" w:styleId="93">
    <w:name w:val="WW8Num2z4"/>
    <w:qFormat/>
    <w:uiPriority w:val="0"/>
  </w:style>
  <w:style w:type="paragraph" w:customStyle="1" w:styleId="94">
    <w:name w:val="Normal1"/>
    <w:uiPriority w:val="0"/>
    <w:pPr>
      <w:spacing w:after="200" w:line="276" w:lineRule="auto"/>
    </w:pPr>
    <w:rPr>
      <w:rFonts w:ascii="Libre Franklin" w:hAnsi="Libre Franklin" w:eastAsia="Libre Franklin" w:cs="Libre Franklin"/>
      <w:sz w:val="22"/>
      <w:szCs w:val="22"/>
      <w:lang w:val="pt-BR" w:eastAsia="pt-BR" w:bidi="ar-SA"/>
    </w:rPr>
  </w:style>
  <w:style w:type="paragraph" w:customStyle="1" w:styleId="95">
    <w:name w:val="Nivel1"/>
    <w:basedOn w:val="2"/>
    <w:next w:val="1"/>
    <w:link w:val="96"/>
    <w:qFormat/>
    <w:uiPriority w:val="0"/>
    <w:pPr>
      <w:spacing w:before="480" w:after="120" w:line="276" w:lineRule="auto"/>
      <w:ind w:left="660" w:hanging="660"/>
      <w:jc w:val="both"/>
    </w:pPr>
    <w:rPr>
      <w:rFonts w:eastAsia="Times New Roman" w:cs="Times New Roman"/>
      <w:bCs/>
      <w:color w:val="000000"/>
      <w:kern w:val="32"/>
      <w:sz w:val="24"/>
    </w:rPr>
  </w:style>
  <w:style w:type="character" w:customStyle="1" w:styleId="96">
    <w:name w:val="Nivel1 Char"/>
    <w:link w:val="95"/>
    <w:uiPriority w:val="0"/>
    <w:rPr>
      <w:rFonts w:ascii="Arial" w:hAnsi="Arial" w:eastAsia="Times New Roman" w:cs="Times New Roman"/>
      <w:b/>
      <w:bCs/>
      <w:color w:val="000000"/>
      <w:kern w:val="32"/>
      <w:sz w:val="24"/>
      <w:szCs w:val="32"/>
    </w:rPr>
  </w:style>
  <w:style w:type="paragraph" w:customStyle="1" w:styleId="97">
    <w:name w:val="Normal11"/>
    <w:qFormat/>
    <w:uiPriority w:val="0"/>
    <w:pPr>
      <w:spacing w:after="200" w:line="276" w:lineRule="auto"/>
    </w:pPr>
    <w:rPr>
      <w:rFonts w:ascii="Libre Franklin" w:hAnsi="Libre Franklin" w:eastAsia="Libre Franklin" w:cs="Libre Franklin"/>
      <w:sz w:val="22"/>
      <w:szCs w:val="22"/>
      <w:lang w:val="pt-BR" w:eastAsia="pt-BR" w:bidi="ar-SA"/>
    </w:rPr>
  </w:style>
  <w:style w:type="paragraph" w:customStyle="1" w:styleId="98">
    <w:name w:val="Título 11"/>
    <w:basedOn w:val="1"/>
    <w:qFormat/>
    <w:uiPriority w:val="1"/>
    <w:pPr>
      <w:keepNext/>
      <w:suppressAutoHyphens/>
      <w:spacing w:before="360" w:after="240" w:line="240" w:lineRule="auto"/>
      <w:ind w:left="1134"/>
    </w:pPr>
    <w:rPr>
      <w:rFonts w:ascii="Arial" w:hAnsi="Arial" w:eastAsia="Arial" w:cs="Arial"/>
      <w:b/>
      <w:color w:val="00000A"/>
      <w:kern w:val="1"/>
      <w:sz w:val="24"/>
      <w:szCs w:val="24"/>
      <w:lang w:eastAsia="zh-CN" w:bidi="hi-IN"/>
    </w:rPr>
  </w:style>
  <w:style w:type="character" w:customStyle="1" w:styleId="99">
    <w:name w:val="selectable-text"/>
    <w:basedOn w:val="11"/>
    <w:qFormat/>
    <w:uiPriority w:val="0"/>
  </w:style>
  <w:style w:type="paragraph" w:customStyle="1" w:styleId="100">
    <w:name w:val="Nivel 01"/>
    <w:basedOn w:val="2"/>
    <w:next w:val="1"/>
    <w:qFormat/>
    <w:uiPriority w:val="0"/>
    <w:pPr>
      <w:tabs>
        <w:tab w:val="left" w:pos="567"/>
      </w:tabs>
      <w:spacing w:line="240" w:lineRule="auto"/>
      <w:jc w:val="both"/>
    </w:pPr>
    <w:rPr>
      <w:rFonts w:eastAsia="Times New Roman" w:cs="Arial"/>
      <w:bCs/>
      <w:szCs w:val="20"/>
    </w:rPr>
  </w:style>
  <w:style w:type="paragraph" w:customStyle="1" w:styleId="101">
    <w:name w:val="Nivel 2"/>
    <w:basedOn w:val="1"/>
    <w:link w:val="105"/>
    <w:qFormat/>
    <w:uiPriority w:val="0"/>
    <w:pPr>
      <w:spacing w:before="120" w:after="120" w:line="276" w:lineRule="auto"/>
      <w:jc w:val="both"/>
    </w:pPr>
    <w:rPr>
      <w:rFonts w:ascii="Arial" w:hAnsi="Arial" w:eastAsia="Times New Roman" w:cs="Arial"/>
      <w:color w:val="000000"/>
      <w:sz w:val="20"/>
      <w:szCs w:val="20"/>
    </w:rPr>
  </w:style>
  <w:style w:type="paragraph" w:customStyle="1" w:styleId="102">
    <w:name w:val="Nivel 3"/>
    <w:basedOn w:val="1"/>
    <w:link w:val="110"/>
    <w:qFormat/>
    <w:uiPriority w:val="0"/>
    <w:pPr>
      <w:spacing w:before="120" w:after="120" w:line="276" w:lineRule="auto"/>
      <w:ind w:left="425"/>
      <w:jc w:val="both"/>
    </w:pPr>
    <w:rPr>
      <w:rFonts w:ascii="Arial" w:hAnsi="Arial" w:eastAsia="Times New Roman" w:cs="Arial"/>
      <w:color w:val="000000"/>
      <w:sz w:val="20"/>
      <w:szCs w:val="20"/>
    </w:rPr>
  </w:style>
  <w:style w:type="paragraph" w:customStyle="1" w:styleId="103">
    <w:name w:val="Nivel 4"/>
    <w:basedOn w:val="102"/>
    <w:qFormat/>
    <w:uiPriority w:val="0"/>
    <w:pPr>
      <w:ind w:left="851"/>
    </w:pPr>
    <w:rPr>
      <w:color w:val="auto"/>
    </w:rPr>
  </w:style>
  <w:style w:type="paragraph" w:customStyle="1" w:styleId="104">
    <w:name w:val="Nivel 5"/>
    <w:basedOn w:val="103"/>
    <w:qFormat/>
    <w:uiPriority w:val="0"/>
    <w:pPr>
      <w:ind w:left="1276"/>
    </w:pPr>
  </w:style>
  <w:style w:type="character" w:customStyle="1" w:styleId="105">
    <w:name w:val="Nivel 2 Char"/>
    <w:basedOn w:val="11"/>
    <w:link w:val="101"/>
    <w:locked/>
    <w:uiPriority w:val="0"/>
    <w:rPr>
      <w:rFonts w:ascii="Arial" w:hAnsi="Arial" w:eastAsia="Times New Roman" w:cs="Arial"/>
      <w:color w:val="000000"/>
      <w:sz w:val="20"/>
      <w:szCs w:val="20"/>
      <w:lang w:eastAsia="pt-BR"/>
    </w:rPr>
  </w:style>
  <w:style w:type="paragraph" w:customStyle="1" w:styleId="106">
    <w:name w:val="ou"/>
    <w:basedOn w:val="41"/>
    <w:link w:val="107"/>
    <w:qFormat/>
    <w:uiPriority w:val="0"/>
    <w:pPr>
      <w:spacing w:before="60" w:after="60"/>
      <w:ind w:left="0"/>
      <w:contextualSpacing w:val="0"/>
      <w:jc w:val="center"/>
    </w:pPr>
    <w:rPr>
      <w:rFonts w:ascii="Arial" w:hAnsi="Arial" w:eastAsia="Franklin Gothic Book" w:cs="Arial"/>
      <w:b/>
      <w:bCs/>
      <w:i/>
      <w:iCs/>
      <w:color w:val="FF0000"/>
      <w:sz w:val="24"/>
      <w:szCs w:val="24"/>
      <w:u w:val="single"/>
    </w:rPr>
  </w:style>
  <w:style w:type="character" w:customStyle="1" w:styleId="107">
    <w:name w:val="ou Char"/>
    <w:basedOn w:val="75"/>
    <w:link w:val="106"/>
    <w:uiPriority w:val="0"/>
    <w:rPr>
      <w:rFonts w:ascii="Arial" w:hAnsi="Arial" w:eastAsia="Franklin Gothic Book" w:cs="Arial"/>
      <w:b/>
      <w:bCs/>
      <w:i/>
      <w:iCs/>
      <w:color w:val="FF0000"/>
      <w:sz w:val="24"/>
      <w:szCs w:val="24"/>
      <w:u w:val="single"/>
      <w:lang w:eastAsia="pt-BR"/>
    </w:rPr>
  </w:style>
  <w:style w:type="paragraph" w:customStyle="1" w:styleId="108">
    <w:name w:val="Nível 2 -Red"/>
    <w:basedOn w:val="101"/>
    <w:link w:val="109"/>
    <w:qFormat/>
    <w:uiPriority w:val="0"/>
    <w:pPr>
      <w:ind w:left="1211" w:hanging="360"/>
    </w:pPr>
    <w:rPr>
      <w:i/>
      <w:iCs/>
      <w:color w:val="FF0000"/>
    </w:rPr>
  </w:style>
  <w:style w:type="character" w:customStyle="1" w:styleId="109">
    <w:name w:val="Nível 2 -Red Char"/>
    <w:basedOn w:val="105"/>
    <w:link w:val="108"/>
    <w:uiPriority w:val="0"/>
    <w:rPr>
      <w:rFonts w:ascii="Arial" w:hAnsi="Arial" w:eastAsia="Times New Roman" w:cs="Arial"/>
      <w:i/>
      <w:iCs/>
      <w:color w:val="FF0000"/>
      <w:sz w:val="20"/>
      <w:szCs w:val="20"/>
      <w:lang w:eastAsia="pt-BR"/>
    </w:rPr>
  </w:style>
  <w:style w:type="character" w:customStyle="1" w:styleId="110">
    <w:name w:val="Nivel 3 Char"/>
    <w:basedOn w:val="11"/>
    <w:link w:val="102"/>
    <w:uiPriority w:val="0"/>
    <w:rPr>
      <w:rFonts w:ascii="Arial" w:hAnsi="Arial" w:eastAsia="Times New Roman" w:cs="Arial"/>
      <w:color w:val="000000"/>
      <w:sz w:val="20"/>
      <w:szCs w:val="20"/>
      <w:lang w:eastAsia="pt-BR"/>
    </w:rPr>
  </w:style>
  <w:style w:type="paragraph" w:customStyle="1" w:styleId="111">
    <w:name w:val="Revision"/>
    <w:hidden/>
    <w:semiHidden/>
    <w:uiPriority w:val="99"/>
    <w:pPr>
      <w:spacing w:after="0" w:line="240" w:lineRule="auto"/>
    </w:pPr>
    <w:rPr>
      <w:rFonts w:ascii="Franklin Gothic Book" w:hAnsi="Franklin Gothic Book" w:eastAsia="Franklin Gothic Book" w:cs="Times New Roman"/>
      <w:sz w:val="22"/>
      <w:szCs w:val="22"/>
      <w:lang w:val="pt-BR" w:eastAsia="pt-BR" w:bidi="ar-SA"/>
    </w:rPr>
  </w:style>
  <w:style w:type="character" w:customStyle="1" w:styleId="112">
    <w:name w:val="WW8Num5z0"/>
    <w:qFormat/>
    <w:uiPriority w:val="0"/>
    <w:rPr>
      <w:rFonts w:ascii="Calibri" w:hAnsi="Calibri" w:cs="Arial"/>
      <w:b/>
      <w:color w:val="000000"/>
      <w:sz w:val="22"/>
      <w:szCs w:val="20"/>
    </w:rPr>
  </w:style>
  <w:style w:type="character" w:customStyle="1" w:styleId="113">
    <w:name w:val="Título Char"/>
    <w:basedOn w:val="11"/>
    <w:link w:val="21"/>
    <w:uiPriority w:val="10"/>
    <w:rPr>
      <w:rFonts w:eastAsia="Times New Roman"/>
      <w:b/>
      <w:lang w:eastAsia="zh-CN"/>
    </w:rPr>
  </w:style>
  <w:style w:type="paragraph" w:customStyle="1" w:styleId="114">
    <w:name w:val="Nível 3-R"/>
    <w:basedOn w:val="102"/>
    <w:qFormat/>
    <w:uiPriority w:val="0"/>
    <w:pPr>
      <w:tabs>
        <w:tab w:val="left" w:pos="0"/>
      </w:tabs>
      <w:suppressAutoHyphens/>
      <w:overflowPunct w:val="0"/>
    </w:pPr>
    <w:rPr>
      <w:rFonts w:eastAsia="Franklin Gothic Book;Corbel"/>
      <w:i/>
      <w:iCs/>
      <w:color w:val="FF0000"/>
      <w:lang w:eastAsia="zh-CN"/>
    </w:rPr>
  </w:style>
  <w:style w:type="paragraph" w:customStyle="1" w:styleId="115">
    <w:name w:val="Nível 1-Sem Num"/>
    <w:basedOn w:val="1"/>
    <w:qFormat/>
    <w:uiPriority w:val="0"/>
    <w:pPr>
      <w:keepNext/>
      <w:tabs>
        <w:tab w:val="left" w:pos="567"/>
      </w:tabs>
      <w:suppressAutoHyphens/>
      <w:overflowPunct w:val="0"/>
      <w:spacing w:before="240" w:after="0" w:line="276" w:lineRule="auto"/>
      <w:ind w:left="357"/>
      <w:jc w:val="both"/>
      <w:outlineLvl w:val="1"/>
    </w:pPr>
    <w:rPr>
      <w:rFonts w:ascii="Arial" w:hAnsi="Arial" w:eastAsia="Times New Roman" w:cs="Arial"/>
      <w:b/>
      <w:bCs/>
      <w:color w:val="FF0000"/>
      <w:kern w:val="2"/>
      <w:sz w:val="20"/>
      <w:szCs w:val="20"/>
      <w:lang w:eastAsia="zh-CN"/>
    </w:rPr>
  </w:style>
  <w:style w:type="character" w:customStyle="1" w:styleId="116">
    <w:name w:val="Texto de comentário Char2"/>
    <w:semiHidden/>
    <w:uiPriority w:val="99"/>
    <w:rPr>
      <w:lang w:eastAsia="zh-CN"/>
    </w:rPr>
  </w:style>
  <w:style w:type="paragraph" w:customStyle="1" w:styleId="117">
    <w:name w:val="Normal2"/>
    <w:uiPriority w:val="0"/>
    <w:pPr>
      <w:spacing w:after="200" w:line="276" w:lineRule="auto"/>
    </w:pPr>
    <w:rPr>
      <w:rFonts w:ascii="Libre Franklin" w:hAnsi="Libre Franklin" w:eastAsia="Libre Franklin" w:cs="Libre Franklin"/>
      <w:sz w:val="22"/>
      <w:szCs w:val="22"/>
      <w:lang w:val="pt-BR" w:eastAsia="pt-BR" w:bidi="ar-SA"/>
    </w:rPr>
  </w:style>
  <w:style w:type="paragraph" w:customStyle="1" w:styleId="118">
    <w:name w:val="Normal3"/>
    <w:qFormat/>
    <w:uiPriority w:val="0"/>
    <w:pPr>
      <w:spacing w:after="200" w:line="276" w:lineRule="auto"/>
    </w:pPr>
    <w:rPr>
      <w:rFonts w:ascii="Libre Franklin" w:hAnsi="Libre Franklin" w:eastAsia="Libre Franklin" w:cs="Libre Franklin"/>
      <w:sz w:val="22"/>
      <w:szCs w:val="22"/>
      <w:lang w:val="pt-BR" w:eastAsia="pt-BR" w:bidi="ar-SA"/>
    </w:rPr>
  </w:style>
  <w:style w:type="paragraph" w:customStyle="1" w:styleId="119">
    <w:name w:val="Heading 61"/>
    <w:basedOn w:val="1"/>
    <w:next w:val="1"/>
    <w:uiPriority w:val="0"/>
    <w:pPr>
      <w:keepNext/>
      <w:suppressAutoHyphens/>
      <w:spacing w:after="0" w:line="240" w:lineRule="auto"/>
      <w:jc w:val="both"/>
    </w:pPr>
    <w:rPr>
      <w:rFonts w:ascii="Times New Roman" w:hAnsi="Times New Roman" w:eastAsia="Times New Roman" w:cs="Times New Roman"/>
      <w:sz w:val="24"/>
      <w:szCs w:val="20"/>
      <w:lang w:eastAsia="zh-CN"/>
    </w:rPr>
  </w:style>
  <w:style w:type="character" w:customStyle="1" w:styleId="120">
    <w:name w:val="Fonte parág. padrão4"/>
    <w:uiPriority w:val="0"/>
  </w:style>
  <w:style w:type="character" w:customStyle="1" w:styleId="121">
    <w:name w:val="WW8Num35z2"/>
    <w:uiPriority w:val="0"/>
    <w:rPr>
      <w:rFonts w:ascii="Arial" w:hAnsi="Arial" w:cs="Arial"/>
      <w:color w:val="auto"/>
      <w:sz w:val="20"/>
      <w:szCs w:val="20"/>
    </w:rPr>
  </w:style>
  <w:style w:type="paragraph" w:customStyle="1" w:styleId="122">
    <w:name w:val="Parágrafo da Lista2"/>
    <w:basedOn w:val="1"/>
    <w:qFormat/>
    <w:uiPriority w:val="0"/>
    <w:pPr>
      <w:suppressAutoHyphens/>
      <w:spacing w:after="200" w:line="276" w:lineRule="auto"/>
      <w:ind w:left="720"/>
      <w:contextualSpacing/>
    </w:pPr>
    <w:rPr>
      <w:rFonts w:ascii="Franklin Gothic Book" w:hAnsi="Franklin Gothic Book" w:eastAsia="Franklin Gothic Book" w:cs="Times New Roman"/>
    </w:rPr>
  </w:style>
  <w:style w:type="paragraph" w:customStyle="1" w:styleId="123">
    <w:name w:val="Texto de comentário5"/>
    <w:basedOn w:val="1"/>
    <w:uiPriority w:val="0"/>
    <w:pPr>
      <w:suppressAutoHyphens/>
      <w:spacing w:after="0" w:line="240" w:lineRule="auto"/>
    </w:pPr>
    <w:rPr>
      <w:rFonts w:ascii="Times New Roman" w:hAnsi="Times New Roman" w:eastAsia="Times New Roman" w:cs="Times New Roman"/>
      <w:sz w:val="20"/>
      <w:szCs w:val="20"/>
      <w:lang w:eastAsia="zh-CN"/>
    </w:rPr>
  </w:style>
  <w:style w:type="paragraph" w:customStyle="1" w:styleId="124">
    <w:name w:val="western"/>
    <w:basedOn w:val="1"/>
    <w:qFormat/>
    <w:uiPriority w:val="0"/>
    <w:pPr>
      <w:suppressAutoHyphens/>
      <w:spacing w:before="280" w:after="142" w:line="288" w:lineRule="auto"/>
    </w:pPr>
    <w:rPr>
      <w:rFonts w:ascii="Liberation Serif" w:hAnsi="Liberation Serif" w:eastAsia="Times New Roman" w:cs="Liberation Serif"/>
      <w:color w:val="000000"/>
      <w:sz w:val="24"/>
      <w:szCs w:val="24"/>
    </w:rPr>
  </w:style>
  <w:style w:type="character" w:customStyle="1" w:styleId="125">
    <w:name w:val="fontstyle01"/>
    <w:basedOn w:val="11"/>
    <w:uiPriority w:val="0"/>
    <w:rPr>
      <w:rFonts w:hint="default" w:ascii="Carlito" w:hAnsi="Carlito"/>
      <w:color w:val="000000"/>
      <w:sz w:val="20"/>
      <w:szCs w:val="20"/>
    </w:rPr>
  </w:style>
  <w:style w:type="character" w:customStyle="1" w:styleId="126">
    <w:name w:val="fontstyle21"/>
    <w:basedOn w:val="11"/>
    <w:uiPriority w:val="0"/>
    <w:rPr>
      <w:rFonts w:hint="default" w:ascii="Carlito-Bold" w:hAnsi="Carlito-Bold"/>
      <w:b/>
      <w:bCs/>
      <w:color w:val="000000"/>
      <w:sz w:val="20"/>
      <w:szCs w:val="20"/>
    </w:rPr>
  </w:style>
  <w:style w:type="table" w:customStyle="1" w:styleId="127">
    <w:name w:val="_Style 126"/>
    <w:basedOn w:val="71"/>
    <w:uiPriority w:val="0"/>
    <w:rPr>
      <w:rFonts w:ascii="Times New Roman" w:hAnsi="Times New Roman" w:eastAsia="Times New Roman" w:cs="Times New Roman"/>
      <w:sz w:val="20"/>
      <w:szCs w:val="20"/>
    </w:rPr>
    <w:tblPr>
      <w:tblCellMar>
        <w:top w:w="0" w:type="dxa"/>
        <w:left w:w="108" w:type="dxa"/>
        <w:bottom w:w="0" w:type="dxa"/>
        <w:right w:w="108" w:type="dxa"/>
      </w:tblCellMar>
    </w:tblPr>
  </w:style>
  <w:style w:type="table" w:customStyle="1" w:styleId="128">
    <w:name w:val="_Style 127"/>
    <w:basedOn w:val="71"/>
    <w:uiPriority w:val="0"/>
    <w:rPr>
      <w:rFonts w:ascii="Times New Roman" w:hAnsi="Times New Roman" w:eastAsia="Times New Roman" w:cs="Times New Roman"/>
      <w:sz w:val="20"/>
      <w:szCs w:val="20"/>
    </w:rPr>
    <w:tblPr>
      <w:tblCellMar>
        <w:top w:w="0" w:type="dxa"/>
        <w:left w:w="108" w:type="dxa"/>
        <w:bottom w:w="0" w:type="dxa"/>
        <w:right w:w="108" w:type="dxa"/>
      </w:tblCellMar>
    </w:tblPr>
  </w:style>
  <w:style w:type="table" w:customStyle="1" w:styleId="129">
    <w:name w:val="_Style 128"/>
    <w:basedOn w:val="71"/>
    <w:uiPriority w:val="0"/>
    <w:rPr>
      <w:rFonts w:ascii="Times New Roman" w:hAnsi="Times New Roman" w:eastAsia="Times New Roman" w:cs="Times New Roman"/>
      <w:sz w:val="20"/>
      <w:szCs w:val="20"/>
    </w:rPr>
    <w:tblPr>
      <w:tblCellMar>
        <w:top w:w="0" w:type="dxa"/>
        <w:left w:w="108" w:type="dxa"/>
        <w:bottom w:w="0" w:type="dxa"/>
        <w:right w:w="108" w:type="dxa"/>
      </w:tblCellMar>
    </w:tblPr>
  </w:style>
  <w:style w:type="table" w:customStyle="1" w:styleId="130">
    <w:name w:val="_Style 129"/>
    <w:basedOn w:val="71"/>
    <w:uiPriority w:val="0"/>
    <w:tblPr>
      <w:tblCellMar>
        <w:top w:w="0" w:type="dxa"/>
        <w:left w:w="115" w:type="dxa"/>
        <w:bottom w:w="0" w:type="dxa"/>
        <w:right w:w="115" w:type="dxa"/>
      </w:tblCellMar>
    </w:tblPr>
  </w:style>
  <w:style w:type="table" w:customStyle="1" w:styleId="131">
    <w:name w:val="_Style 130"/>
    <w:basedOn w:val="71"/>
    <w:uiPriority w:val="0"/>
    <w:tblPr>
      <w:tblCellMar>
        <w:top w:w="0" w:type="dxa"/>
        <w:left w:w="70" w:type="dxa"/>
        <w:bottom w:w="0" w:type="dxa"/>
        <w:right w:w="70" w:type="dxa"/>
      </w:tblCellMar>
    </w:tblPr>
  </w:style>
  <w:style w:type="table" w:customStyle="1" w:styleId="132">
    <w:name w:val="_Style 131"/>
    <w:basedOn w:val="71"/>
    <w:uiPriority w:val="0"/>
    <w:tblPr>
      <w:tblCellMar>
        <w:top w:w="0" w:type="dxa"/>
        <w:left w:w="115" w:type="dxa"/>
        <w:bottom w:w="0" w:type="dxa"/>
        <w:right w:w="115" w:type="dxa"/>
      </w:tblCellMar>
    </w:tblPr>
  </w:style>
  <w:style w:type="table" w:customStyle="1" w:styleId="133">
    <w:name w:val="_Style 132"/>
    <w:basedOn w:val="71"/>
    <w:uiPriority w:val="0"/>
    <w:rPr>
      <w:rFonts w:ascii="Times New Roman" w:hAnsi="Times New Roman" w:eastAsia="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BDg/5BnEBKRWKBNfQndvHaWEXw==">CgMxLjAyDmguamZ2OXI4anBmZGJ5Mg5oLmpmdjlyOGpwZmRieTIOaC53YnIxc2g1ajF0dGoyDmguNzFnanh5ZTg0YzVlMg5oLnRpZjcwd2xqY2U0YTIOaC44cm9sajE3d2t6NjYyDmguMWFka3pubmt1dHBpMg5oLjUxMjJ6cHhuamZudzIOaC5seTh1cHoycHUyc3kyDmguYm56dDQyMXI3MHA5Mg5oLndoa3BhNTRhZmQ3bzIOaC50MnNya3AzNDMwNmIyDmgudGV1bnI4bTVzMWt0Mg1oLjFqaW45eHc4bTMyMg5oLm1qcDhibG9oazh1ODIOaC5yODRjaG80Y3M2OGcyDmguZ242c2Q5ZTExdjd0Mg5oLmpvZXYwN296ZmplMTIOaC5hbzBvN3d4cmc3Y244AHIhMUtpTDZ2eE9hY2x4YnJDc2MyY1ZsbnF0Wm5xc1hfQU1P</go:docsCustomData>
</go:gDocsCustomXmlDataStorage>
</file>

<file path=customXml/itemProps1.xml><?xml version="1.0" encoding="utf-8"?>
<ds:datastoreItem xmlns:ds="http://schemas.openxmlformats.org/officeDocument/2006/customXml" ds:itemID="{FA1D9D88-0D19-4E3F-946F-B6DC29F4347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25</Pages>
  <Words>10643</Words>
  <Characters>57477</Characters>
  <Lines>478</Lines>
  <Paragraphs>135</Paragraphs>
  <TotalTime>10</TotalTime>
  <ScaleCrop>false</ScaleCrop>
  <LinksUpToDate>false</LinksUpToDate>
  <CharactersWithSpaces>67985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2026-02-03T15:35:00Z</dcterms:created>
  <dc:creator>Luiz Henrique</dc:creator>
  <cp:lastModifiedBy>jessyca.ferreira</cp:lastModifiedBy>
  <dcterms:modified xsi:type="dcterms:W3CDTF">2026-03-04T18:03:46Z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71A1CF27226D42EF931CCB4E21C7616D_13</vt:lpwstr>
  </property>
</Properties>
</file>